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6DAB52ED"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69563E">
        <w:rPr>
          <w:b/>
          <w:sz w:val="24"/>
        </w:rPr>
        <w:t>February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264EEE" w:rsidRPr="00F91ECD" w14:paraId="0AE5065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3B86D" w14:textId="1A1BBAE8" w:rsidR="00264EEE" w:rsidRDefault="00264EEE" w:rsidP="006A2BCA">
            <w:pPr>
              <w:spacing w:after="0" w:line="240" w:lineRule="auto"/>
              <w:jc w:val="center"/>
            </w:pPr>
            <w:hyperlink w:anchor="_1920-0083_Ms_Linsey" w:history="1">
              <w:r w:rsidRPr="00185F03">
                <w:rPr>
                  <w:rStyle w:val="Hyperlink"/>
                </w:rPr>
                <w:t>1920-0083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FD2C622" w14:textId="77777777" w:rsidR="00264EEE" w:rsidRDefault="00264EEE" w:rsidP="006A2BCA">
            <w:pPr>
              <w:autoSpaceDE w:val="0"/>
              <w:autoSpaceDN w:val="0"/>
              <w:adjustRightInd w:val="0"/>
              <w:spacing w:after="0" w:line="240" w:lineRule="auto"/>
              <w:jc w:val="center"/>
              <w:rPr>
                <w:lang w:eastAsia="en-GB"/>
              </w:rPr>
            </w:pPr>
          </w:p>
          <w:p w14:paraId="7CA6E8DD" w14:textId="123E1872" w:rsidR="00264EEE" w:rsidRDefault="00264EEE" w:rsidP="006A2BCA">
            <w:pPr>
              <w:autoSpaceDE w:val="0"/>
              <w:autoSpaceDN w:val="0"/>
              <w:adjustRightInd w:val="0"/>
              <w:spacing w:after="0" w:line="240" w:lineRule="auto"/>
              <w:jc w:val="center"/>
              <w:rPr>
                <w:lang w:eastAsia="en-GB"/>
              </w:rPr>
            </w:pPr>
            <w:r w:rsidRPr="00264EEE">
              <w:rPr>
                <w:lang w:eastAsia="en-GB"/>
              </w:rPr>
              <w:t>Ms Linsey Galbraith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A405A20" w14:textId="1366B386" w:rsidR="00264EEE" w:rsidRPr="00E33905" w:rsidRDefault="00264EEE" w:rsidP="00C17110">
            <w:pPr>
              <w:pStyle w:val="NoSpacing"/>
            </w:pPr>
            <w:r w:rsidRPr="00264EEE">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1CE5093" w14:textId="301172C2" w:rsidR="00264EEE" w:rsidRPr="00E33905" w:rsidRDefault="00264EEE"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264EEE">
              <w:rPr>
                <w:color w:val="000000" w:themeColor="text1"/>
              </w:rPr>
              <w:t>Weight Management Core Dataset Reporting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E88DAFC" w14:textId="77777777" w:rsidR="00264EEE" w:rsidRDefault="00264EEE" w:rsidP="006A2BCA">
            <w:pPr>
              <w:autoSpaceDE w:val="0"/>
              <w:autoSpaceDN w:val="0"/>
              <w:adjustRightInd w:val="0"/>
              <w:spacing w:after="0" w:line="240" w:lineRule="auto"/>
              <w:rPr>
                <w:rFonts w:cs="Arial"/>
                <w:color w:val="000000"/>
                <w:sz w:val="24"/>
                <w:szCs w:val="24"/>
              </w:rPr>
            </w:pPr>
          </w:p>
          <w:p w14:paraId="62F5CDCC" w14:textId="3B14D6F3" w:rsidR="00264EEE" w:rsidRDefault="00264EEE" w:rsidP="006A2BCA">
            <w:pPr>
              <w:autoSpaceDE w:val="0"/>
              <w:autoSpaceDN w:val="0"/>
              <w:adjustRightInd w:val="0"/>
              <w:spacing w:after="0" w:line="240" w:lineRule="auto"/>
              <w:rPr>
                <w:rFonts w:cs="Arial"/>
                <w:color w:val="000000"/>
                <w:sz w:val="24"/>
                <w:szCs w:val="24"/>
              </w:rPr>
            </w:pPr>
            <w:r>
              <w:rPr>
                <w:rFonts w:cs="Arial"/>
                <w:color w:val="000000"/>
                <w:sz w:val="24"/>
                <w:szCs w:val="24"/>
              </w:rPr>
              <w:t>24/04/2020</w:t>
            </w:r>
          </w:p>
        </w:tc>
      </w:tr>
      <w:bookmarkStart w:id="1" w:name="_Hlk98487819"/>
      <w:bookmarkStart w:id="2" w:name="_Hlk99007289"/>
      <w:tr w:rsidR="00823B34" w:rsidRPr="00F91ECD" w14:paraId="40781A3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BB21D" w14:textId="6FA9EB9B" w:rsidR="00823B34" w:rsidRDefault="00E125B7" w:rsidP="006A2BCA">
            <w:pPr>
              <w:spacing w:after="0" w:line="240" w:lineRule="auto"/>
              <w:jc w:val="center"/>
            </w:pPr>
            <w:r>
              <w:fldChar w:fldCharType="begin"/>
            </w:r>
            <w:r w:rsidR="00772F4D">
              <w:instrText>HYPERLINK  \l "_1920-0240"</w:instrText>
            </w:r>
            <w:r>
              <w:fldChar w:fldCharType="separate"/>
            </w:r>
            <w:r w:rsidR="00823B34" w:rsidRPr="00E125B7">
              <w:rPr>
                <w:rStyle w:val="Hyperlink"/>
              </w:rPr>
              <w:t>1920-0240</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405A5F41" w14:textId="77777777" w:rsidR="00823B34" w:rsidRDefault="00823B34" w:rsidP="006A2BCA">
            <w:pPr>
              <w:autoSpaceDE w:val="0"/>
              <w:autoSpaceDN w:val="0"/>
              <w:adjustRightInd w:val="0"/>
              <w:spacing w:after="0" w:line="240" w:lineRule="auto"/>
              <w:jc w:val="center"/>
              <w:rPr>
                <w:lang w:eastAsia="en-GB"/>
              </w:rPr>
            </w:pPr>
          </w:p>
          <w:p w14:paraId="371CDD33" w14:textId="04B0B186" w:rsidR="00823B34" w:rsidRDefault="00823B34" w:rsidP="006A2BCA">
            <w:pPr>
              <w:autoSpaceDE w:val="0"/>
              <w:autoSpaceDN w:val="0"/>
              <w:adjustRightInd w:val="0"/>
              <w:spacing w:after="0" w:line="240" w:lineRule="auto"/>
              <w:jc w:val="center"/>
              <w:rPr>
                <w:lang w:eastAsia="en-GB"/>
              </w:rPr>
            </w:pPr>
            <w:r w:rsidRPr="00823B34">
              <w:rPr>
                <w:lang w:eastAsia="en-GB"/>
              </w:rPr>
              <w:t>Anne Birch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95EBF1F" w14:textId="3AF19EE7" w:rsidR="00823B34" w:rsidRPr="00302CC9" w:rsidRDefault="00823B34" w:rsidP="00C17110">
            <w:pPr>
              <w:pStyle w:val="NoSpacing"/>
            </w:pPr>
            <w:r w:rsidRPr="00823B34">
              <w:t>Mental Welfare Commission for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2D7010B" w14:textId="78D1764D" w:rsidR="00823B34" w:rsidRPr="00302CC9" w:rsidRDefault="00823B34"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823B34">
              <w:rPr>
                <w:color w:val="000000" w:themeColor="text1"/>
              </w:rPr>
              <w:t>Deaths in Detention Reviews Project (DIDR)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070640B" w14:textId="77777777" w:rsidR="00823B34" w:rsidRDefault="00823B34" w:rsidP="006A2BCA">
            <w:pPr>
              <w:autoSpaceDE w:val="0"/>
              <w:autoSpaceDN w:val="0"/>
              <w:adjustRightInd w:val="0"/>
              <w:spacing w:after="0" w:line="240" w:lineRule="auto"/>
              <w:rPr>
                <w:rFonts w:cs="Arial"/>
                <w:color w:val="000000"/>
                <w:sz w:val="24"/>
                <w:szCs w:val="24"/>
              </w:rPr>
            </w:pPr>
          </w:p>
          <w:p w14:paraId="3D4FFBB5" w14:textId="40980D45" w:rsidR="00823B34" w:rsidRDefault="00823B34" w:rsidP="006A2BCA">
            <w:pPr>
              <w:autoSpaceDE w:val="0"/>
              <w:autoSpaceDN w:val="0"/>
              <w:adjustRightInd w:val="0"/>
              <w:spacing w:after="0" w:line="240" w:lineRule="auto"/>
              <w:rPr>
                <w:rFonts w:cs="Arial"/>
                <w:color w:val="000000"/>
                <w:sz w:val="24"/>
                <w:szCs w:val="24"/>
              </w:rPr>
            </w:pPr>
            <w:r>
              <w:rPr>
                <w:rFonts w:cs="Arial"/>
                <w:color w:val="000000"/>
                <w:sz w:val="24"/>
                <w:szCs w:val="24"/>
              </w:rPr>
              <w:t>12/03/2021</w:t>
            </w:r>
          </w:p>
        </w:tc>
      </w:tr>
      <w:bookmarkStart w:id="3" w:name="_Hlk99089999"/>
      <w:bookmarkStart w:id="4" w:name="_Hlk113959213"/>
      <w:bookmarkStart w:id="5" w:name="_Hlk113959882"/>
      <w:bookmarkStart w:id="6" w:name="_Hlk113960626"/>
      <w:tr w:rsidR="00A851D0" w:rsidRPr="00F91ECD" w14:paraId="2B4ADC1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86438" w14:textId="3E47D917" w:rsidR="00A851D0" w:rsidRDefault="006F1EB3" w:rsidP="00CC4BE0">
            <w:r>
              <w:fldChar w:fldCharType="begin"/>
            </w:r>
            <w:r>
              <w:instrText>HYPERLINK \l "_1920-0116_Ryan_Ottridge"</w:instrText>
            </w:r>
            <w:r>
              <w:fldChar w:fldCharType="separate"/>
            </w:r>
            <w:r w:rsidR="003900BD" w:rsidRPr="00F87A2B">
              <w:rPr>
                <w:rStyle w:val="Hyperlink"/>
              </w:rPr>
              <w:t>1920</w:t>
            </w:r>
            <w:r w:rsidR="00AC1807" w:rsidRPr="00F87A2B">
              <w:rPr>
                <w:rStyle w:val="Hyperlink"/>
              </w:rPr>
              <w:t>-0</w:t>
            </w:r>
            <w:r w:rsidR="003900BD" w:rsidRPr="00F87A2B">
              <w:rPr>
                <w:rStyle w:val="Hyperlink"/>
              </w:rPr>
              <w:t>1</w:t>
            </w:r>
            <w:r w:rsidR="00AC1807" w:rsidRPr="00F87A2B">
              <w:rPr>
                <w:rStyle w:val="Hyperlink"/>
              </w:rPr>
              <w:t>16</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FCEAAAD" w14:textId="77777777" w:rsidR="00A851D0" w:rsidRDefault="00A851D0" w:rsidP="006A2BCA">
            <w:pPr>
              <w:autoSpaceDE w:val="0"/>
              <w:autoSpaceDN w:val="0"/>
              <w:adjustRightInd w:val="0"/>
              <w:spacing w:after="0" w:line="240" w:lineRule="auto"/>
              <w:jc w:val="center"/>
              <w:rPr>
                <w:lang w:eastAsia="en-GB"/>
              </w:rPr>
            </w:pPr>
          </w:p>
          <w:p w14:paraId="64397BDA" w14:textId="3A8916B6" w:rsidR="00AC1807" w:rsidRDefault="00A8711D" w:rsidP="006A2BCA">
            <w:pPr>
              <w:autoSpaceDE w:val="0"/>
              <w:autoSpaceDN w:val="0"/>
              <w:adjustRightInd w:val="0"/>
              <w:spacing w:after="0" w:line="240" w:lineRule="auto"/>
              <w:jc w:val="center"/>
              <w:rPr>
                <w:lang w:eastAsia="en-GB"/>
              </w:rPr>
            </w:pPr>
            <w:r w:rsidRPr="00A8711D">
              <w:rPr>
                <w:lang w:eastAsia="en-GB"/>
              </w:rPr>
              <w:t>Ryan Ottridge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C514D4A" w14:textId="624F21FA" w:rsidR="00A851D0" w:rsidRPr="005849C9" w:rsidRDefault="00776BB6" w:rsidP="000D27D4">
            <w:pPr>
              <w:pStyle w:val="NoSpacing"/>
            </w:pPr>
            <w:r w:rsidRPr="00776BB6">
              <w:t>University of Birmingham</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60EC35C" w14:textId="72ACC33F" w:rsidR="00A851D0" w:rsidRPr="005849C9" w:rsidRDefault="00416CE1" w:rsidP="00C17110">
            <w:pPr>
              <w:tabs>
                <w:tab w:val="left" w:pos="720"/>
                <w:tab w:val="left" w:pos="1440"/>
                <w:tab w:val="left" w:pos="2160"/>
                <w:tab w:val="left" w:pos="2880"/>
                <w:tab w:val="left" w:pos="4680"/>
                <w:tab w:val="left" w:pos="5400"/>
                <w:tab w:val="right" w:pos="9000"/>
              </w:tabs>
              <w:spacing w:after="0" w:line="360" w:lineRule="auto"/>
            </w:pPr>
            <w:r w:rsidRPr="00416CE1">
              <w:t>PD MED Trial-A Large Randomised Assessment of the Cost of Different Classes of Drugs for Parkinson’s disease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51E7FA1" w14:textId="77777777" w:rsidR="00A851D0" w:rsidRDefault="00A851D0" w:rsidP="006A2BCA">
            <w:pPr>
              <w:autoSpaceDE w:val="0"/>
              <w:autoSpaceDN w:val="0"/>
              <w:adjustRightInd w:val="0"/>
              <w:spacing w:after="0" w:line="240" w:lineRule="auto"/>
              <w:rPr>
                <w:rFonts w:cs="Arial"/>
                <w:color w:val="000000"/>
                <w:sz w:val="24"/>
                <w:szCs w:val="24"/>
              </w:rPr>
            </w:pPr>
          </w:p>
          <w:p w14:paraId="1F697219" w14:textId="30A74FC6" w:rsidR="00416CE1" w:rsidRDefault="00120BC9" w:rsidP="006A2BCA">
            <w:pPr>
              <w:autoSpaceDE w:val="0"/>
              <w:autoSpaceDN w:val="0"/>
              <w:adjustRightInd w:val="0"/>
              <w:spacing w:after="0" w:line="240" w:lineRule="auto"/>
              <w:rPr>
                <w:rFonts w:cs="Arial"/>
                <w:color w:val="000000"/>
                <w:sz w:val="24"/>
                <w:szCs w:val="24"/>
              </w:rPr>
            </w:pPr>
            <w:r>
              <w:rPr>
                <w:rFonts w:cs="Arial"/>
                <w:color w:val="000000"/>
                <w:sz w:val="24"/>
                <w:szCs w:val="24"/>
              </w:rPr>
              <w:t>10/02/2021</w:t>
            </w:r>
          </w:p>
        </w:tc>
      </w:tr>
      <w:bookmarkStart w:id="7" w:name="_Hlk126054189"/>
      <w:tr w:rsidR="0083608E" w:rsidRPr="00F91ECD" w14:paraId="3D9975F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7B5A" w14:textId="19E60E09" w:rsidR="0083608E" w:rsidRDefault="006F1EB3" w:rsidP="00CC4BE0">
            <w:r>
              <w:fldChar w:fldCharType="begin"/>
            </w:r>
            <w:r>
              <w:instrText>HYPERLINK \l "_1920-0099_Liam_Joseph"</w:instrText>
            </w:r>
            <w:r>
              <w:fldChar w:fldCharType="separate"/>
            </w:r>
            <w:r w:rsidR="00A0061F" w:rsidRPr="00C854C5">
              <w:rPr>
                <w:rStyle w:val="Hyperlink"/>
              </w:rPr>
              <w:t>1920-0099</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6E55B05" w14:textId="77777777" w:rsidR="0083608E" w:rsidRDefault="0083608E" w:rsidP="006A2BCA">
            <w:pPr>
              <w:autoSpaceDE w:val="0"/>
              <w:autoSpaceDN w:val="0"/>
              <w:adjustRightInd w:val="0"/>
              <w:spacing w:after="0" w:line="240" w:lineRule="auto"/>
              <w:jc w:val="center"/>
              <w:rPr>
                <w:lang w:eastAsia="en-GB"/>
              </w:rPr>
            </w:pPr>
          </w:p>
          <w:p w14:paraId="78E8ED8E" w14:textId="26D5D5D0" w:rsidR="00A0061F" w:rsidRDefault="00CE4D0E" w:rsidP="006A2BCA">
            <w:pPr>
              <w:autoSpaceDE w:val="0"/>
              <w:autoSpaceDN w:val="0"/>
              <w:adjustRightInd w:val="0"/>
              <w:spacing w:after="0" w:line="240" w:lineRule="auto"/>
              <w:jc w:val="center"/>
              <w:rPr>
                <w:lang w:eastAsia="en-GB"/>
              </w:rPr>
            </w:pPr>
            <w:r w:rsidRPr="00CE4D0E">
              <w:rPr>
                <w:lang w:eastAsia="en-GB"/>
              </w:rPr>
              <w:t>Liam Joseph Mullen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EE5F54" w14:textId="2A157CF8" w:rsidR="0083608E" w:rsidRPr="002B1B62" w:rsidRDefault="00C34C26" w:rsidP="000D27D4">
            <w:pPr>
              <w:pStyle w:val="NoSpacing"/>
            </w:pPr>
            <w:r w:rsidRPr="00C34C26">
              <w:t>Liverpool Heart and Chest Hospital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5CBD2B0" w14:textId="2F840066" w:rsidR="0083608E" w:rsidRPr="009F69C2" w:rsidRDefault="00260E58" w:rsidP="00C17110">
            <w:pPr>
              <w:tabs>
                <w:tab w:val="left" w:pos="720"/>
                <w:tab w:val="left" w:pos="1440"/>
                <w:tab w:val="left" w:pos="2160"/>
                <w:tab w:val="left" w:pos="2880"/>
                <w:tab w:val="left" w:pos="4680"/>
                <w:tab w:val="left" w:pos="5400"/>
                <w:tab w:val="right" w:pos="9000"/>
              </w:tabs>
              <w:spacing w:after="0" w:line="360" w:lineRule="auto"/>
            </w:pPr>
            <w:r w:rsidRPr="00260E58">
              <w:t>RIPCORD 2</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0C4A324" w14:textId="77777777" w:rsidR="0083608E" w:rsidRDefault="0083608E" w:rsidP="006A2BCA">
            <w:pPr>
              <w:autoSpaceDE w:val="0"/>
              <w:autoSpaceDN w:val="0"/>
              <w:adjustRightInd w:val="0"/>
              <w:spacing w:after="0" w:line="240" w:lineRule="auto"/>
              <w:rPr>
                <w:rFonts w:cs="Arial"/>
                <w:color w:val="000000"/>
                <w:sz w:val="24"/>
                <w:szCs w:val="24"/>
              </w:rPr>
            </w:pPr>
          </w:p>
          <w:p w14:paraId="375E741E" w14:textId="65E0DF40" w:rsidR="00260E58" w:rsidRDefault="00E028FE" w:rsidP="006A2BCA">
            <w:pPr>
              <w:autoSpaceDE w:val="0"/>
              <w:autoSpaceDN w:val="0"/>
              <w:adjustRightInd w:val="0"/>
              <w:spacing w:after="0" w:line="240" w:lineRule="auto"/>
              <w:rPr>
                <w:rFonts w:cs="Arial"/>
                <w:color w:val="000000"/>
                <w:sz w:val="24"/>
                <w:szCs w:val="24"/>
              </w:rPr>
            </w:pPr>
            <w:r>
              <w:rPr>
                <w:rFonts w:cs="Arial"/>
                <w:color w:val="000000"/>
                <w:sz w:val="24"/>
                <w:szCs w:val="24"/>
              </w:rPr>
              <w:t>29/11/2019</w:t>
            </w:r>
          </w:p>
        </w:tc>
      </w:tr>
      <w:bookmarkStart w:id="8" w:name="_Hlk126054999"/>
      <w:bookmarkStart w:id="9" w:name="_Hlk135399153"/>
      <w:bookmarkStart w:id="10" w:name="_Hlk135399651"/>
      <w:bookmarkStart w:id="11" w:name="_Hlk135400215"/>
      <w:tr w:rsidR="000D4392" w:rsidRPr="00F91ECD" w14:paraId="13EE425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E84A" w14:textId="18459B05" w:rsidR="000D4392" w:rsidRDefault="00A35542" w:rsidP="00CC4BE0">
            <w:r>
              <w:fldChar w:fldCharType="begin"/>
            </w:r>
            <w:r>
              <w:instrText xml:space="preserve"> HYPERLINK  \l "_1920-0073_Liz_Watt" </w:instrText>
            </w:r>
            <w:r>
              <w:fldChar w:fldCharType="separate"/>
            </w:r>
            <w:r w:rsidR="008875B8" w:rsidRPr="00A35542">
              <w:rPr>
                <w:rStyle w:val="Hyperlink"/>
              </w:rPr>
              <w:t>1920-0073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3B4EE51" w14:textId="77777777" w:rsidR="000D4392" w:rsidRDefault="000D4392" w:rsidP="006A2BCA">
            <w:pPr>
              <w:autoSpaceDE w:val="0"/>
              <w:autoSpaceDN w:val="0"/>
              <w:adjustRightInd w:val="0"/>
              <w:spacing w:after="0" w:line="240" w:lineRule="auto"/>
              <w:jc w:val="center"/>
              <w:rPr>
                <w:lang w:eastAsia="en-GB"/>
              </w:rPr>
            </w:pPr>
          </w:p>
          <w:p w14:paraId="15364743" w14:textId="463ACCB2" w:rsidR="008875B8" w:rsidRDefault="00A74999" w:rsidP="006A2BCA">
            <w:pPr>
              <w:autoSpaceDE w:val="0"/>
              <w:autoSpaceDN w:val="0"/>
              <w:adjustRightInd w:val="0"/>
              <w:spacing w:after="0" w:line="240" w:lineRule="auto"/>
              <w:jc w:val="center"/>
              <w:rPr>
                <w:lang w:eastAsia="en-GB"/>
              </w:rPr>
            </w:pPr>
            <w:r>
              <w:rPr>
                <w:lang w:eastAsia="en-GB"/>
              </w:rPr>
              <w:t>Liz Watt</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E5889CA" w14:textId="34448CB6" w:rsidR="000D4392" w:rsidRDefault="007113D9" w:rsidP="000D27D4">
            <w:pPr>
              <w:pStyle w:val="NoSpacing"/>
              <w:rPr>
                <w:lang w:eastAsia="en-GB"/>
              </w:rPr>
            </w:pPr>
            <w:r>
              <w:rPr>
                <w:lang w:eastAsia="en-GB"/>
              </w:rPr>
              <w:t>Managed Service Network for Children &amp; Young People’s cancer</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5AAE9EC" w14:textId="552EFD5C" w:rsidR="000D4392" w:rsidRPr="00914802" w:rsidRDefault="00831D14" w:rsidP="00C17110">
            <w:pPr>
              <w:tabs>
                <w:tab w:val="left" w:pos="720"/>
                <w:tab w:val="left" w:pos="1440"/>
                <w:tab w:val="left" w:pos="2160"/>
                <w:tab w:val="left" w:pos="2880"/>
                <w:tab w:val="left" w:pos="4680"/>
                <w:tab w:val="left" w:pos="5400"/>
                <w:tab w:val="right" w:pos="9000"/>
              </w:tabs>
              <w:spacing w:after="0" w:line="360" w:lineRule="auto"/>
            </w:pPr>
            <w:bookmarkStart w:id="12" w:name="_Hlk135400258"/>
            <w:r w:rsidRPr="00831D14">
              <w:t>Teenage &amp; Young Adult cancer Palliative Care: End of Life Care Audit</w:t>
            </w:r>
            <w:bookmarkEnd w:id="12"/>
          </w:p>
        </w:tc>
        <w:tc>
          <w:tcPr>
            <w:tcW w:w="1375" w:type="dxa"/>
            <w:tcBorders>
              <w:top w:val="single" w:sz="4" w:space="0" w:color="auto"/>
              <w:left w:val="nil"/>
              <w:bottom w:val="single" w:sz="4" w:space="0" w:color="auto"/>
              <w:right w:val="single" w:sz="4" w:space="0" w:color="auto"/>
            </w:tcBorders>
            <w:shd w:val="clear" w:color="auto" w:fill="FFFFFF" w:themeFill="background1"/>
          </w:tcPr>
          <w:p w14:paraId="08DCA68E" w14:textId="77777777" w:rsidR="000D4392" w:rsidRDefault="000D4392" w:rsidP="006A2BCA">
            <w:pPr>
              <w:autoSpaceDE w:val="0"/>
              <w:autoSpaceDN w:val="0"/>
              <w:adjustRightInd w:val="0"/>
              <w:spacing w:after="0" w:line="240" w:lineRule="auto"/>
              <w:rPr>
                <w:rFonts w:cs="Arial"/>
                <w:color w:val="000000"/>
                <w:sz w:val="24"/>
                <w:szCs w:val="24"/>
              </w:rPr>
            </w:pPr>
          </w:p>
        </w:tc>
      </w:tr>
      <w:bookmarkStart w:id="13" w:name="_Hlk136006337"/>
      <w:bookmarkStart w:id="14" w:name="_Hlk148444488"/>
      <w:tr w:rsidR="00C80BC7" w:rsidRPr="00F91ECD" w14:paraId="0B25C6D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91EA2" w14:textId="56794969" w:rsidR="00C80BC7" w:rsidRDefault="006F1EB3" w:rsidP="00CC4BE0">
            <w:r>
              <w:fldChar w:fldCharType="begin"/>
            </w:r>
            <w:r>
              <w:instrText>HYPERLINK \l "_1920-0257_Julie_Landsberg"</w:instrText>
            </w:r>
            <w:r>
              <w:fldChar w:fldCharType="separate"/>
            </w:r>
            <w:r w:rsidR="00151ADF" w:rsidRPr="00137F2B">
              <w:rPr>
                <w:rStyle w:val="Hyperlink"/>
              </w:rPr>
              <w:t>1920-0257</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5328C0F" w14:textId="77777777" w:rsidR="00C80BC7" w:rsidRDefault="00C80BC7" w:rsidP="006A2BCA">
            <w:pPr>
              <w:autoSpaceDE w:val="0"/>
              <w:autoSpaceDN w:val="0"/>
              <w:adjustRightInd w:val="0"/>
              <w:spacing w:after="0" w:line="240" w:lineRule="auto"/>
              <w:jc w:val="center"/>
              <w:rPr>
                <w:lang w:eastAsia="en-GB"/>
              </w:rPr>
            </w:pPr>
          </w:p>
          <w:p w14:paraId="3478FCE0" w14:textId="76D75CB5" w:rsidR="00151ADF" w:rsidRDefault="0037088B" w:rsidP="006A2BCA">
            <w:pPr>
              <w:autoSpaceDE w:val="0"/>
              <w:autoSpaceDN w:val="0"/>
              <w:adjustRightInd w:val="0"/>
              <w:spacing w:after="0" w:line="240" w:lineRule="auto"/>
              <w:jc w:val="center"/>
              <w:rPr>
                <w:lang w:eastAsia="en-GB"/>
              </w:rPr>
            </w:pPr>
            <w:r w:rsidRPr="0037088B">
              <w:rPr>
                <w:lang w:eastAsia="en-GB"/>
              </w:rPr>
              <w:t>Julie Landsberg</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89F6EB" w14:textId="6933D81D" w:rsidR="00C80BC7" w:rsidRPr="002935A0" w:rsidRDefault="001120DB" w:rsidP="000D27D4">
            <w:pPr>
              <w:pStyle w:val="NoSpacing"/>
              <w:rPr>
                <w:lang w:eastAsia="en-GB"/>
              </w:rPr>
            </w:pPr>
            <w:r w:rsidRPr="001120DB">
              <w:rPr>
                <w:lang w:eastAsia="en-GB"/>
              </w:rPr>
              <w:t>Scottish Government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7D24B2B" w14:textId="710C92FC" w:rsidR="00C80BC7" w:rsidRPr="001D4FB4" w:rsidRDefault="001120DB"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120DB">
              <w:rPr>
                <w:lang w:eastAsia="en-GB"/>
              </w:rPr>
              <w:t>Scottish Health Survey (SHeS)/SMR data linkage – Legal basis change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99A9A80" w14:textId="77777777" w:rsidR="00C80BC7" w:rsidRDefault="00C80BC7" w:rsidP="006A2BCA">
            <w:pPr>
              <w:autoSpaceDE w:val="0"/>
              <w:autoSpaceDN w:val="0"/>
              <w:adjustRightInd w:val="0"/>
              <w:spacing w:after="0" w:line="240" w:lineRule="auto"/>
              <w:rPr>
                <w:rFonts w:cs="Arial"/>
                <w:color w:val="000000"/>
                <w:sz w:val="24"/>
                <w:szCs w:val="24"/>
              </w:rPr>
            </w:pPr>
          </w:p>
        </w:tc>
      </w:tr>
      <w:bookmarkStart w:id="15" w:name="_Hlk148448107"/>
      <w:bookmarkStart w:id="16" w:name="_Hlk148448421"/>
      <w:bookmarkStart w:id="17" w:name="_Hlk148448758"/>
      <w:bookmarkStart w:id="18" w:name="_Hlk148449201"/>
      <w:tr w:rsidR="00342F90" w:rsidRPr="00F91ECD" w14:paraId="1ED27ED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77D6F" w14:textId="2AA3D133" w:rsidR="00342F90" w:rsidRDefault="006F1EB3" w:rsidP="00CC4BE0">
            <w:r>
              <w:lastRenderedPageBreak/>
              <w:fldChar w:fldCharType="begin"/>
            </w:r>
            <w:r>
              <w:instrText>HYPERLINK \l "_1920-0014_Dr_Chris"</w:instrText>
            </w:r>
            <w:r>
              <w:fldChar w:fldCharType="separate"/>
            </w:r>
            <w:r w:rsidR="00342F90" w:rsidRPr="00052708">
              <w:rPr>
                <w:rStyle w:val="Hyperlink"/>
              </w:rPr>
              <w:t>1920-0014</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D63BFC7" w14:textId="49AB38CA" w:rsidR="00342F90" w:rsidRDefault="00C734F1" w:rsidP="006A2BCA">
            <w:pPr>
              <w:autoSpaceDE w:val="0"/>
              <w:autoSpaceDN w:val="0"/>
              <w:adjustRightInd w:val="0"/>
              <w:spacing w:after="0" w:line="240" w:lineRule="auto"/>
              <w:jc w:val="center"/>
              <w:rPr>
                <w:lang w:eastAsia="en-GB"/>
              </w:rPr>
            </w:pPr>
            <w:r>
              <w:rPr>
                <w:lang w:eastAsia="en-GB"/>
              </w:rPr>
              <w:t>Dr Chris Cardwell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6C0EE76" w14:textId="47F8DF51" w:rsidR="00342F90" w:rsidRPr="001D25E7" w:rsidRDefault="00C734F1" w:rsidP="000D27D4">
            <w:pPr>
              <w:pStyle w:val="NoSpacing"/>
              <w:rPr>
                <w:lang w:eastAsia="en-GB"/>
              </w:rPr>
            </w:pPr>
            <w:r w:rsidRPr="00C734F1">
              <w:rPr>
                <w:lang w:eastAsia="en-GB"/>
              </w:rPr>
              <w:t>Queen’s University Belfast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289156A" w14:textId="7D57A456" w:rsidR="00342F90" w:rsidRPr="001D25E7" w:rsidRDefault="00B34649" w:rsidP="00C17110">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Use of hormone replacement therapy and survival from cancer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007303E" w14:textId="77777777" w:rsidR="00342F90" w:rsidRDefault="00342F90" w:rsidP="006A2BCA">
            <w:pPr>
              <w:autoSpaceDE w:val="0"/>
              <w:autoSpaceDN w:val="0"/>
              <w:adjustRightInd w:val="0"/>
              <w:spacing w:after="0" w:line="240" w:lineRule="auto"/>
              <w:rPr>
                <w:rFonts w:cs="Arial"/>
                <w:color w:val="000000"/>
                <w:sz w:val="24"/>
                <w:szCs w:val="24"/>
              </w:rPr>
            </w:pPr>
          </w:p>
        </w:tc>
      </w:tr>
      <w:tr w:rsidR="00B84790" w:rsidRPr="00F91ECD" w14:paraId="135E576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81035" w14:textId="23ACF3F0" w:rsidR="00B84790" w:rsidRDefault="00B84790" w:rsidP="00CC4BE0">
            <w:hyperlink w:anchor="_1920-0137_Dr_Matthew" w:history="1">
              <w:r w:rsidRPr="00B84790">
                <w:rPr>
                  <w:rStyle w:val="Hyperlink"/>
                </w:rPr>
                <w:t>1920-0137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A296FCE" w14:textId="77777777" w:rsidR="00B84790" w:rsidRDefault="00B84790" w:rsidP="006A2BCA">
            <w:pPr>
              <w:autoSpaceDE w:val="0"/>
              <w:autoSpaceDN w:val="0"/>
              <w:adjustRightInd w:val="0"/>
              <w:spacing w:after="0" w:line="240" w:lineRule="auto"/>
              <w:jc w:val="center"/>
              <w:rPr>
                <w:lang w:eastAsia="en-GB"/>
              </w:rPr>
            </w:pPr>
          </w:p>
          <w:p w14:paraId="33B285F7" w14:textId="16DD9A5E" w:rsidR="00B84790" w:rsidRDefault="00B84790" w:rsidP="006A2BCA">
            <w:pPr>
              <w:autoSpaceDE w:val="0"/>
              <w:autoSpaceDN w:val="0"/>
              <w:adjustRightInd w:val="0"/>
              <w:spacing w:after="0" w:line="240" w:lineRule="auto"/>
              <w:jc w:val="center"/>
              <w:rPr>
                <w:lang w:eastAsia="en-GB"/>
              </w:rPr>
            </w:pPr>
            <w:r>
              <w:t>Dr Matthew J Northgraves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2CA1DDC" w14:textId="64B07FB9" w:rsidR="00B84790" w:rsidRPr="00C734F1" w:rsidRDefault="00B84790" w:rsidP="000D27D4">
            <w:pPr>
              <w:pStyle w:val="NoSpacing"/>
              <w:rPr>
                <w:lang w:eastAsia="en-GB"/>
              </w:rPr>
            </w:pPr>
            <w:r>
              <w:t>University of Hull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EE8658C" w14:textId="277E8BB2" w:rsidR="00B84790" w:rsidRDefault="00B84790"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B84790">
              <w:rPr>
                <w:lang w:eastAsia="en-GB"/>
              </w:rPr>
              <w:t>Leukaemia In Pregnancy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48CA9E4" w14:textId="77777777" w:rsidR="00B84790" w:rsidRDefault="00B84790" w:rsidP="006A2BCA">
            <w:pPr>
              <w:autoSpaceDE w:val="0"/>
              <w:autoSpaceDN w:val="0"/>
              <w:adjustRightInd w:val="0"/>
              <w:spacing w:after="0" w:line="240" w:lineRule="auto"/>
              <w:rPr>
                <w:rFonts w:cs="Arial"/>
                <w:color w:val="000000"/>
                <w:sz w:val="24"/>
                <w:szCs w:val="24"/>
              </w:rPr>
            </w:pPr>
          </w:p>
        </w:tc>
      </w:tr>
      <w:bookmarkStart w:id="19" w:name="_Hlk170283267"/>
      <w:tr w:rsidR="000313CE" w:rsidRPr="00F91ECD" w14:paraId="6B2F861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677E6" w14:textId="142DAD71" w:rsidR="000313CE" w:rsidRDefault="000313CE" w:rsidP="00CC4BE0">
            <w:r>
              <w:fldChar w:fldCharType="begin"/>
            </w:r>
            <w:r>
              <w:instrText>HYPERLINK  \l "_1920-0121"</w:instrText>
            </w:r>
            <w:r>
              <w:fldChar w:fldCharType="separate"/>
            </w:r>
            <w:r w:rsidRPr="000313CE">
              <w:rPr>
                <w:rStyle w:val="Hyperlink"/>
              </w:rPr>
              <w:t>1920-0121</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7718BA8" w14:textId="77777777" w:rsidR="000313CE" w:rsidRDefault="000313CE" w:rsidP="006A2BCA">
            <w:pPr>
              <w:autoSpaceDE w:val="0"/>
              <w:autoSpaceDN w:val="0"/>
              <w:adjustRightInd w:val="0"/>
              <w:spacing w:after="0" w:line="240" w:lineRule="auto"/>
              <w:jc w:val="center"/>
              <w:rPr>
                <w:lang w:eastAsia="en-GB"/>
              </w:rPr>
            </w:pPr>
          </w:p>
          <w:p w14:paraId="7D225E89" w14:textId="68A32FE6" w:rsidR="000313CE" w:rsidRDefault="000313CE" w:rsidP="006A2BCA">
            <w:pPr>
              <w:autoSpaceDE w:val="0"/>
              <w:autoSpaceDN w:val="0"/>
              <w:adjustRightInd w:val="0"/>
              <w:spacing w:after="0" w:line="240" w:lineRule="auto"/>
              <w:jc w:val="center"/>
              <w:rPr>
                <w:lang w:eastAsia="en-GB"/>
              </w:rPr>
            </w:pPr>
            <w:r>
              <w:rPr>
                <w:lang w:eastAsia="en-GB"/>
              </w:rPr>
              <w:t>Dr Claire Tochel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A919F83" w14:textId="5D3FB796" w:rsidR="000313CE" w:rsidRDefault="000313CE" w:rsidP="000D27D4">
            <w:pPr>
              <w:pStyle w:val="NoSpacing"/>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FA1343D" w14:textId="513253F7" w:rsidR="000313CE" w:rsidRPr="00B84790" w:rsidRDefault="000313CE" w:rsidP="00C17110">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The Scottish Clinical Optometry and Ophthalmology Network e-research (SCONe) project – proof of concept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3D2DE9E" w14:textId="77777777" w:rsidR="000313CE" w:rsidRDefault="000313CE" w:rsidP="006A2BCA">
            <w:pPr>
              <w:autoSpaceDE w:val="0"/>
              <w:autoSpaceDN w:val="0"/>
              <w:adjustRightInd w:val="0"/>
              <w:spacing w:after="0" w:line="240" w:lineRule="auto"/>
              <w:rPr>
                <w:rFonts w:cs="Arial"/>
                <w:color w:val="000000"/>
                <w:sz w:val="24"/>
                <w:szCs w:val="24"/>
              </w:rPr>
            </w:pPr>
          </w:p>
          <w:p w14:paraId="565DE538" w14:textId="7B34725D" w:rsidR="000313CE" w:rsidRDefault="000313CE" w:rsidP="006A2BCA">
            <w:pPr>
              <w:autoSpaceDE w:val="0"/>
              <w:autoSpaceDN w:val="0"/>
              <w:adjustRightInd w:val="0"/>
              <w:spacing w:after="0" w:line="240" w:lineRule="auto"/>
              <w:rPr>
                <w:rFonts w:cs="Arial"/>
                <w:color w:val="000000"/>
                <w:sz w:val="24"/>
                <w:szCs w:val="24"/>
              </w:rPr>
            </w:pPr>
            <w:r>
              <w:rPr>
                <w:rFonts w:cs="Arial"/>
                <w:color w:val="000000"/>
                <w:sz w:val="24"/>
                <w:szCs w:val="24"/>
              </w:rPr>
              <w:t>27/10/2021</w:t>
            </w:r>
          </w:p>
        </w:tc>
      </w:tr>
      <w:bookmarkStart w:id="20" w:name="_Hlk178856729"/>
      <w:tr w:rsidR="004E1F05" w:rsidRPr="00F91ECD" w14:paraId="655C38B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B7277" w14:textId="25DD36EA" w:rsidR="004E1F05" w:rsidRDefault="004E1F05" w:rsidP="00CC4BE0">
            <w:r>
              <w:fldChar w:fldCharType="begin"/>
            </w:r>
            <w:r>
              <w:instrText>HYPERLINK  \l "_1920-0266_Glenn_Nielsen"</w:instrText>
            </w:r>
            <w:r>
              <w:fldChar w:fldCharType="separate"/>
            </w:r>
            <w:r w:rsidRPr="004E1F05">
              <w:rPr>
                <w:rStyle w:val="Hyperlink"/>
              </w:rPr>
              <w:t>1920-0266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7BF2F4C" w14:textId="77777777" w:rsidR="004E1F05" w:rsidRDefault="004E1F05" w:rsidP="006A2BCA">
            <w:pPr>
              <w:autoSpaceDE w:val="0"/>
              <w:autoSpaceDN w:val="0"/>
              <w:adjustRightInd w:val="0"/>
              <w:spacing w:after="0" w:line="240" w:lineRule="auto"/>
              <w:jc w:val="center"/>
              <w:rPr>
                <w:lang w:eastAsia="en-GB"/>
              </w:rPr>
            </w:pPr>
          </w:p>
          <w:p w14:paraId="63331000" w14:textId="031E21DD" w:rsidR="004E1F05" w:rsidRDefault="004E1F05" w:rsidP="006A2BCA">
            <w:pPr>
              <w:autoSpaceDE w:val="0"/>
              <w:autoSpaceDN w:val="0"/>
              <w:adjustRightInd w:val="0"/>
              <w:spacing w:after="0" w:line="240" w:lineRule="auto"/>
              <w:jc w:val="center"/>
              <w:rPr>
                <w:lang w:eastAsia="en-GB"/>
              </w:rPr>
            </w:pPr>
            <w:r w:rsidRPr="004E1F05">
              <w:rPr>
                <w:lang w:eastAsia="en-GB"/>
              </w:rPr>
              <w:t>Glenn Nielsen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8F9C8DC" w14:textId="154F9969" w:rsidR="004E1F05" w:rsidRDefault="004E1F05" w:rsidP="000D27D4">
            <w:pPr>
              <w:pStyle w:val="NoSpacing"/>
              <w:rPr>
                <w:lang w:eastAsia="en-GB"/>
              </w:rPr>
            </w:pPr>
            <w:r w:rsidRPr="004E1F05">
              <w:rPr>
                <w:lang w:eastAsia="en-GB"/>
              </w:rPr>
              <w:t>St George’s University of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19B793C" w14:textId="441AB6F8" w:rsidR="004E1F05" w:rsidRDefault="004E1F05"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4E1F05">
              <w:rPr>
                <w:lang w:eastAsia="en-GB"/>
              </w:rPr>
              <w:t>Physio4FMD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2BD8110" w14:textId="77777777" w:rsidR="004E1F05" w:rsidRDefault="004E1F05" w:rsidP="006A2BCA">
            <w:pPr>
              <w:autoSpaceDE w:val="0"/>
              <w:autoSpaceDN w:val="0"/>
              <w:adjustRightInd w:val="0"/>
              <w:spacing w:after="0" w:line="240" w:lineRule="auto"/>
              <w:rPr>
                <w:rFonts w:cs="Arial"/>
                <w:color w:val="000000"/>
                <w:sz w:val="24"/>
                <w:szCs w:val="24"/>
              </w:rPr>
            </w:pPr>
          </w:p>
          <w:p w14:paraId="2486E06B" w14:textId="2CFA1DF3" w:rsidR="004E1F05" w:rsidRDefault="004E1F05" w:rsidP="006A2BCA">
            <w:pPr>
              <w:autoSpaceDE w:val="0"/>
              <w:autoSpaceDN w:val="0"/>
              <w:adjustRightInd w:val="0"/>
              <w:spacing w:after="0" w:line="240" w:lineRule="auto"/>
              <w:rPr>
                <w:rFonts w:cs="Arial"/>
                <w:color w:val="000000"/>
                <w:sz w:val="24"/>
                <w:szCs w:val="24"/>
              </w:rPr>
            </w:pPr>
            <w:r>
              <w:rPr>
                <w:rFonts w:cs="Arial"/>
                <w:color w:val="000000"/>
                <w:sz w:val="24"/>
                <w:szCs w:val="24"/>
              </w:rPr>
              <w:t>10/02/2023</w:t>
            </w:r>
          </w:p>
        </w:tc>
      </w:tr>
      <w:tr w:rsidR="00B7285B" w:rsidRPr="00F91ECD" w14:paraId="32543E9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0AACD" w14:textId="0E3EB7D9" w:rsidR="00B7285B" w:rsidRDefault="00B7285B" w:rsidP="00CC4BE0">
            <w:hyperlink w:anchor="_1920-0194_Emily_R." w:history="1">
              <w:r w:rsidRPr="00B7285B">
                <w:rPr>
                  <w:rStyle w:val="Hyperlink"/>
                </w:rPr>
                <w:t>1920-0194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0EA69C4" w14:textId="77777777" w:rsidR="00B7285B" w:rsidRDefault="00B7285B" w:rsidP="006A2BCA">
            <w:pPr>
              <w:autoSpaceDE w:val="0"/>
              <w:autoSpaceDN w:val="0"/>
              <w:adjustRightInd w:val="0"/>
              <w:spacing w:after="0" w:line="240" w:lineRule="auto"/>
              <w:jc w:val="center"/>
              <w:rPr>
                <w:lang w:eastAsia="en-GB"/>
              </w:rPr>
            </w:pPr>
          </w:p>
          <w:p w14:paraId="5D753870" w14:textId="0DEA62BD" w:rsidR="00B7285B" w:rsidRDefault="00B7285B" w:rsidP="006A2BCA">
            <w:pPr>
              <w:autoSpaceDE w:val="0"/>
              <w:autoSpaceDN w:val="0"/>
              <w:adjustRightInd w:val="0"/>
              <w:spacing w:after="0" w:line="240" w:lineRule="auto"/>
              <w:jc w:val="center"/>
              <w:rPr>
                <w:lang w:eastAsia="en-GB"/>
              </w:rPr>
            </w:pPr>
            <w:r w:rsidRPr="00B7285B">
              <w:rPr>
                <w:lang w:eastAsia="en-GB"/>
              </w:rPr>
              <w:t>Emily R. Adrion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50302D7" w14:textId="3070335E" w:rsidR="00B7285B" w:rsidRPr="004E1F05" w:rsidRDefault="00B7285B" w:rsidP="000D27D4">
            <w:pPr>
              <w:pStyle w:val="NoSpacing"/>
              <w:rPr>
                <w:lang w:eastAsia="en-GB"/>
              </w:rPr>
            </w:pPr>
            <w:r w:rsidRPr="00B7285B">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F90F05D" w14:textId="30240946" w:rsidR="00B7285B" w:rsidRPr="004E1F05" w:rsidRDefault="00B7285B"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B7285B">
              <w:rPr>
                <w:lang w:eastAsia="en-GB"/>
              </w:rPr>
              <w:t>The Elimination of the Prescription Charge in Scotland: Understanding the short- and medium-term impact of prescription charge removal and examining future directions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661D5CF" w14:textId="77777777" w:rsidR="00B7285B" w:rsidRDefault="00B7285B" w:rsidP="006A2BCA">
            <w:pPr>
              <w:autoSpaceDE w:val="0"/>
              <w:autoSpaceDN w:val="0"/>
              <w:adjustRightInd w:val="0"/>
              <w:spacing w:after="0" w:line="240" w:lineRule="auto"/>
              <w:rPr>
                <w:rFonts w:cs="Arial"/>
                <w:color w:val="000000"/>
                <w:sz w:val="24"/>
                <w:szCs w:val="24"/>
              </w:rPr>
            </w:pPr>
          </w:p>
        </w:tc>
      </w:tr>
      <w:tr w:rsidR="00B7285B" w:rsidRPr="00F91ECD" w14:paraId="0E25D99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87906" w14:textId="7A748153" w:rsidR="00B7285B" w:rsidRDefault="00B7285B" w:rsidP="00CC4BE0">
            <w:hyperlink w:anchor="_1920-0048_Dr_Sarah" w:history="1">
              <w:r w:rsidRPr="002D65EE">
                <w:rPr>
                  <w:rStyle w:val="Hyperlink"/>
                </w:rPr>
                <w:t>1920-0048</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48EA220F" w14:textId="77777777" w:rsidR="00B7285B" w:rsidRDefault="00B7285B" w:rsidP="006A2BCA">
            <w:pPr>
              <w:autoSpaceDE w:val="0"/>
              <w:autoSpaceDN w:val="0"/>
              <w:adjustRightInd w:val="0"/>
              <w:spacing w:after="0" w:line="240" w:lineRule="auto"/>
              <w:jc w:val="center"/>
              <w:rPr>
                <w:lang w:eastAsia="en-GB"/>
              </w:rPr>
            </w:pPr>
          </w:p>
          <w:p w14:paraId="7337C1C1" w14:textId="2C37C6A9" w:rsidR="00B7285B" w:rsidRDefault="002D65EE" w:rsidP="006A2BCA">
            <w:pPr>
              <w:autoSpaceDE w:val="0"/>
              <w:autoSpaceDN w:val="0"/>
              <w:adjustRightInd w:val="0"/>
              <w:spacing w:after="0" w:line="240" w:lineRule="auto"/>
              <w:jc w:val="center"/>
              <w:rPr>
                <w:lang w:eastAsia="en-GB"/>
              </w:rPr>
            </w:pPr>
            <w:r w:rsidRPr="002D65EE">
              <w:rPr>
                <w:lang w:eastAsia="en-GB"/>
              </w:rPr>
              <w:t>Dr Sarah Savaridas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D10FC94" w14:textId="5B78FC13" w:rsidR="00B7285B" w:rsidRPr="00B7285B" w:rsidRDefault="002D65EE" w:rsidP="000D27D4">
            <w:pPr>
              <w:pStyle w:val="NoSpacing"/>
              <w:rPr>
                <w:lang w:eastAsia="en-GB"/>
              </w:rPr>
            </w:pPr>
            <w:r w:rsidRPr="002D65EE">
              <w:rPr>
                <w:lang w:eastAsia="en-GB"/>
              </w:rPr>
              <w:t>University of Dundee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FB69028" w14:textId="6C189F65" w:rsidR="00B7285B" w:rsidRPr="00B7285B" w:rsidRDefault="002D65EE"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2D65EE">
              <w:rPr>
                <w:lang w:eastAsia="en-GB"/>
              </w:rPr>
              <w:t>MEDICI (Mammographic Predictors of Cancer Recurrence after Breast Conservation and Adjuvant Endocrine Therapy)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9C538EE" w14:textId="77777777" w:rsidR="00B7285B" w:rsidRDefault="00B7285B" w:rsidP="006A2BCA">
            <w:pPr>
              <w:autoSpaceDE w:val="0"/>
              <w:autoSpaceDN w:val="0"/>
              <w:adjustRightInd w:val="0"/>
              <w:spacing w:after="0" w:line="240" w:lineRule="auto"/>
              <w:rPr>
                <w:rFonts w:cs="Arial"/>
                <w:color w:val="000000"/>
                <w:sz w:val="24"/>
                <w:szCs w:val="24"/>
              </w:rPr>
            </w:pPr>
          </w:p>
        </w:tc>
      </w:tr>
      <w:tr w:rsidR="0085249E" w:rsidRPr="00F91ECD" w14:paraId="301DFDD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73582" w14:textId="508A6404" w:rsidR="0085249E" w:rsidRDefault="0085249E" w:rsidP="00CC4BE0">
            <w:hyperlink w:anchor="_1920-0071_Professor_Philip" w:history="1">
              <w:r w:rsidRPr="00AC002E">
                <w:rPr>
                  <w:rStyle w:val="Hyperlink"/>
                </w:rPr>
                <w:t>1920-007</w:t>
              </w:r>
              <w:r w:rsidR="0094472F" w:rsidRPr="00AC002E">
                <w:rPr>
                  <w:rStyle w:val="Hyperlink"/>
                </w:rPr>
                <w:t>1</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3982DE4" w14:textId="77777777" w:rsidR="007B32F4" w:rsidRDefault="007B32F4" w:rsidP="006A2BCA">
            <w:pPr>
              <w:autoSpaceDE w:val="0"/>
              <w:autoSpaceDN w:val="0"/>
              <w:adjustRightInd w:val="0"/>
              <w:spacing w:after="0" w:line="240" w:lineRule="auto"/>
              <w:jc w:val="center"/>
              <w:rPr>
                <w:lang w:eastAsia="en-GB"/>
              </w:rPr>
            </w:pPr>
          </w:p>
          <w:p w14:paraId="3EFC7AF1" w14:textId="76B6884F" w:rsidR="0085249E" w:rsidRDefault="007B32F4" w:rsidP="006A2BCA">
            <w:pPr>
              <w:autoSpaceDE w:val="0"/>
              <w:autoSpaceDN w:val="0"/>
              <w:adjustRightInd w:val="0"/>
              <w:spacing w:after="0" w:line="240" w:lineRule="auto"/>
              <w:jc w:val="center"/>
              <w:rPr>
                <w:lang w:eastAsia="en-GB"/>
              </w:rPr>
            </w:pPr>
            <w:r w:rsidRPr="007B32F4">
              <w:rPr>
                <w:lang w:eastAsia="en-GB"/>
              </w:rPr>
              <w:t>Professor Philip Rowe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7054AA9" w14:textId="273C695E" w:rsidR="0085249E" w:rsidRPr="002D65EE" w:rsidRDefault="007B32F4" w:rsidP="000D27D4">
            <w:pPr>
              <w:pStyle w:val="NoSpacing"/>
              <w:rPr>
                <w:lang w:eastAsia="en-GB"/>
              </w:rPr>
            </w:pPr>
            <w:r w:rsidRPr="007B32F4">
              <w:rPr>
                <w:lang w:eastAsia="en-GB"/>
              </w:rPr>
              <w:t>University of Strathclyde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10E30CE" w14:textId="293C7DEB" w:rsidR="0085249E" w:rsidRPr="002D65EE" w:rsidRDefault="00AF45EB"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AF45EB">
              <w:rPr>
                <w:lang w:eastAsia="en-GB"/>
              </w:rPr>
              <w:t>Robotic Knee Arthroplasty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97DAF5C" w14:textId="77777777" w:rsidR="0085249E" w:rsidRDefault="0085249E" w:rsidP="006A2BCA">
            <w:pPr>
              <w:autoSpaceDE w:val="0"/>
              <w:autoSpaceDN w:val="0"/>
              <w:adjustRightInd w:val="0"/>
              <w:spacing w:after="0" w:line="240" w:lineRule="auto"/>
              <w:rPr>
                <w:rFonts w:cs="Arial"/>
                <w:color w:val="000000"/>
                <w:sz w:val="24"/>
                <w:szCs w:val="24"/>
              </w:rPr>
            </w:pPr>
          </w:p>
          <w:p w14:paraId="3873089B" w14:textId="37D5184C" w:rsidR="00AF45EB" w:rsidRDefault="007B7F65" w:rsidP="006A2BCA">
            <w:pPr>
              <w:autoSpaceDE w:val="0"/>
              <w:autoSpaceDN w:val="0"/>
              <w:adjustRightInd w:val="0"/>
              <w:spacing w:after="0" w:line="240" w:lineRule="auto"/>
              <w:rPr>
                <w:rFonts w:cs="Arial"/>
                <w:color w:val="000000"/>
                <w:sz w:val="24"/>
                <w:szCs w:val="24"/>
              </w:rPr>
            </w:pPr>
            <w:r>
              <w:rPr>
                <w:rFonts w:cs="Arial"/>
                <w:color w:val="000000"/>
                <w:sz w:val="24"/>
                <w:szCs w:val="24"/>
              </w:rPr>
              <w:t>30/11/2023</w:t>
            </w:r>
          </w:p>
        </w:tc>
      </w:tr>
      <w:bookmarkEnd w:id="1"/>
      <w:bookmarkEnd w:id="2"/>
      <w:bookmarkEnd w:id="3"/>
      <w:bookmarkEnd w:id="4"/>
      <w:bookmarkEnd w:id="5"/>
      <w:bookmarkEnd w:id="6"/>
      <w:bookmarkEnd w:id="7"/>
      <w:bookmarkEnd w:id="8"/>
      <w:bookmarkEnd w:id="9"/>
      <w:bookmarkEnd w:id="10"/>
      <w:bookmarkEnd w:id="11"/>
      <w:bookmarkEnd w:id="13"/>
      <w:bookmarkEnd w:id="14"/>
      <w:bookmarkEnd w:id="15"/>
      <w:bookmarkEnd w:id="16"/>
      <w:bookmarkEnd w:id="17"/>
      <w:bookmarkEnd w:id="18"/>
      <w:bookmarkEnd w:id="19"/>
      <w:bookmarkEnd w:id="20"/>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p w14:paraId="59E8BCCA" w14:textId="739F1A96" w:rsidR="00410801" w:rsidRDefault="00410801" w:rsidP="00E8156A">
      <w:pPr>
        <w:pStyle w:val="Heading2"/>
      </w:pPr>
      <w:bookmarkStart w:id="21" w:name="_1819-0251_Steve_Turner"/>
      <w:bookmarkStart w:id="22" w:name="_1920-0014_Dr_Chris"/>
      <w:bookmarkEnd w:id="21"/>
      <w:bookmarkEnd w:id="22"/>
      <w:r w:rsidRPr="00410801">
        <w:t>1920-0014</w:t>
      </w:r>
      <w:r w:rsidRPr="00410801">
        <w:tab/>
        <w:t>Dr Chris Cardwell</w:t>
      </w:r>
    </w:p>
    <w:p w14:paraId="5DBD4BFF" w14:textId="77777777" w:rsidR="00410801" w:rsidRDefault="00410801" w:rsidP="00410801"/>
    <w:p w14:paraId="6485B964" w14:textId="2E8C59B5" w:rsidR="00410801" w:rsidRDefault="00742CFA" w:rsidP="00410801">
      <w:pPr>
        <w:rPr>
          <w:b/>
          <w:sz w:val="24"/>
          <w:szCs w:val="24"/>
        </w:rPr>
      </w:pPr>
      <w:r w:rsidRPr="00742CFA">
        <w:rPr>
          <w:b/>
          <w:sz w:val="24"/>
          <w:szCs w:val="24"/>
        </w:rPr>
        <w:t>Use of hormone replacement therapy and survival from cancer</w:t>
      </w:r>
    </w:p>
    <w:p w14:paraId="762CC76C" w14:textId="77777777" w:rsidR="00742CFA" w:rsidRDefault="00742CFA" w:rsidP="00742CFA">
      <w:pPr>
        <w:pStyle w:val="NoSpacing"/>
        <w:rPr>
          <w:b/>
          <w:sz w:val="24"/>
          <w:szCs w:val="24"/>
        </w:rPr>
      </w:pPr>
      <w:r>
        <w:rPr>
          <w:b/>
          <w:sz w:val="24"/>
          <w:szCs w:val="24"/>
        </w:rPr>
        <w:t>End of Project Report</w:t>
      </w:r>
    </w:p>
    <w:p w14:paraId="1B322786" w14:textId="77777777" w:rsidR="00742CFA" w:rsidRDefault="00742CFA" w:rsidP="00742CFA">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9F50E1" w14:paraId="452814B0"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C5C4A2" w14:textId="77777777" w:rsidR="009F50E1" w:rsidRDefault="009F50E1">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156ED8" w14:textId="77777777" w:rsidR="009F50E1" w:rsidRDefault="009F50E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4A0ED7" w14:textId="77777777" w:rsidR="009F50E1" w:rsidRDefault="009F50E1">
            <w:pPr>
              <w:spacing w:after="200" w:line="276" w:lineRule="auto"/>
              <w:ind w:left="360"/>
              <w:rPr>
                <w:lang w:eastAsia="en-GB"/>
              </w:rPr>
            </w:pPr>
          </w:p>
        </w:tc>
      </w:tr>
      <w:tr w:rsidR="009F50E1" w14:paraId="4AB17D17" w14:textId="77777777" w:rsidTr="009F50E1">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2DAE81D3"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B745FC" w14:textId="77777777" w:rsidR="009F50E1" w:rsidRDefault="009F50E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04048F38" w14:textId="77777777" w:rsidR="009F50E1" w:rsidRDefault="009F50E1">
            <w:pPr>
              <w:pStyle w:val="Default"/>
              <w:rPr>
                <w:sz w:val="22"/>
                <w:szCs w:val="22"/>
              </w:rPr>
            </w:pPr>
            <w:r>
              <w:rPr>
                <w:sz w:val="22"/>
                <w:szCs w:val="22"/>
              </w:rPr>
              <w:t xml:space="preserve">To investigate HRT use after cancer diagnosis and risk of cancer-specific mortality in patients with common female cancers, excluding breast cancer. </w:t>
            </w:r>
          </w:p>
          <w:p w14:paraId="3DF71370" w14:textId="77777777" w:rsidR="009F50E1" w:rsidRDefault="009F50E1">
            <w:pPr>
              <w:spacing w:line="360" w:lineRule="auto"/>
              <w:rPr>
                <w:lang w:eastAsia="en-GB"/>
              </w:rPr>
            </w:pPr>
          </w:p>
        </w:tc>
      </w:tr>
      <w:tr w:rsidR="009F50E1" w14:paraId="6C27B345"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18A730" w14:textId="77777777" w:rsidR="009F50E1" w:rsidRDefault="009F50E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D28905" w14:textId="77777777" w:rsidR="009F50E1" w:rsidRDefault="009F50E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DF6195" w14:textId="77777777" w:rsidR="009F50E1" w:rsidRDefault="009F50E1">
            <w:pPr>
              <w:spacing w:after="200" w:line="276" w:lineRule="auto"/>
              <w:ind w:left="360"/>
              <w:rPr>
                <w:lang w:eastAsia="en-GB"/>
              </w:rPr>
            </w:pPr>
          </w:p>
          <w:p w14:paraId="59AF3FA8" w14:textId="77777777" w:rsidR="009F50E1" w:rsidRDefault="009F50E1">
            <w:pPr>
              <w:spacing w:after="200" w:line="276" w:lineRule="auto"/>
              <w:rPr>
                <w:lang w:eastAsia="en-GB"/>
              </w:rPr>
            </w:pPr>
          </w:p>
          <w:p w14:paraId="332A0884" w14:textId="77777777" w:rsidR="009F50E1" w:rsidRDefault="009F50E1">
            <w:pPr>
              <w:spacing w:after="200" w:line="276" w:lineRule="auto"/>
              <w:rPr>
                <w:lang w:eastAsia="en-GB"/>
              </w:rPr>
            </w:pPr>
          </w:p>
          <w:p w14:paraId="6E958CC9" w14:textId="77777777" w:rsidR="009F50E1" w:rsidRDefault="009F50E1">
            <w:pPr>
              <w:spacing w:after="200" w:line="276" w:lineRule="auto"/>
              <w:rPr>
                <w:lang w:eastAsia="en-GB"/>
              </w:rPr>
            </w:pPr>
          </w:p>
          <w:p w14:paraId="7A46FD3E" w14:textId="77777777" w:rsidR="009F50E1" w:rsidRDefault="009F50E1">
            <w:pPr>
              <w:spacing w:after="200" w:line="276" w:lineRule="auto"/>
              <w:rPr>
                <w:lang w:eastAsia="en-GB"/>
              </w:rPr>
            </w:pPr>
          </w:p>
          <w:p w14:paraId="106E280A" w14:textId="77777777" w:rsidR="009F50E1" w:rsidRDefault="009F50E1">
            <w:pPr>
              <w:spacing w:after="200" w:line="276" w:lineRule="auto"/>
              <w:rPr>
                <w:lang w:eastAsia="en-GB"/>
              </w:rPr>
            </w:pPr>
          </w:p>
          <w:p w14:paraId="6D02CC7D" w14:textId="77777777" w:rsidR="009F50E1" w:rsidRDefault="009F50E1">
            <w:pPr>
              <w:spacing w:after="200" w:line="276" w:lineRule="auto"/>
              <w:rPr>
                <w:lang w:eastAsia="en-GB"/>
              </w:rPr>
            </w:pPr>
          </w:p>
          <w:p w14:paraId="1F6BD4D8" w14:textId="77777777" w:rsidR="009F50E1" w:rsidRDefault="009F50E1">
            <w:pPr>
              <w:spacing w:after="200" w:line="276" w:lineRule="auto"/>
              <w:rPr>
                <w:lang w:eastAsia="en-GB"/>
              </w:rPr>
            </w:pPr>
          </w:p>
          <w:p w14:paraId="06D118A5" w14:textId="77777777" w:rsidR="009F50E1" w:rsidRDefault="009F50E1">
            <w:pPr>
              <w:spacing w:after="200" w:line="276" w:lineRule="auto"/>
              <w:rPr>
                <w:lang w:eastAsia="en-GB"/>
              </w:rPr>
            </w:pPr>
          </w:p>
          <w:p w14:paraId="1EAB31EF" w14:textId="77777777" w:rsidR="009F50E1" w:rsidRDefault="009F50E1">
            <w:pPr>
              <w:spacing w:after="200" w:line="276" w:lineRule="auto"/>
              <w:rPr>
                <w:lang w:eastAsia="en-GB"/>
              </w:rPr>
            </w:pPr>
          </w:p>
          <w:p w14:paraId="28A755F2" w14:textId="77777777" w:rsidR="009F50E1" w:rsidRDefault="009F50E1">
            <w:pPr>
              <w:spacing w:after="200" w:line="276" w:lineRule="auto"/>
              <w:rPr>
                <w:lang w:eastAsia="en-GB"/>
              </w:rPr>
            </w:pPr>
          </w:p>
          <w:p w14:paraId="369900A1" w14:textId="77777777" w:rsidR="009F50E1" w:rsidRDefault="009F50E1">
            <w:pPr>
              <w:spacing w:after="200" w:line="276" w:lineRule="auto"/>
              <w:rPr>
                <w:lang w:eastAsia="en-GB"/>
              </w:rPr>
            </w:pPr>
          </w:p>
          <w:p w14:paraId="26B9E08E" w14:textId="77777777" w:rsidR="009F50E1" w:rsidRDefault="009F50E1">
            <w:pPr>
              <w:spacing w:after="200" w:line="276" w:lineRule="auto"/>
              <w:rPr>
                <w:lang w:eastAsia="en-GB"/>
              </w:rPr>
            </w:pPr>
          </w:p>
          <w:p w14:paraId="43E866AD" w14:textId="77777777" w:rsidR="009F50E1" w:rsidRDefault="009F50E1">
            <w:pPr>
              <w:spacing w:after="200" w:line="276" w:lineRule="auto"/>
              <w:rPr>
                <w:lang w:eastAsia="en-GB"/>
              </w:rPr>
            </w:pPr>
          </w:p>
          <w:p w14:paraId="45B7D270" w14:textId="77777777" w:rsidR="009F50E1" w:rsidRDefault="009F50E1">
            <w:pPr>
              <w:spacing w:after="200" w:line="276" w:lineRule="auto"/>
              <w:rPr>
                <w:lang w:eastAsia="en-GB"/>
              </w:rPr>
            </w:pPr>
          </w:p>
          <w:p w14:paraId="3810F97D" w14:textId="77777777" w:rsidR="009F50E1" w:rsidRDefault="009F50E1">
            <w:pPr>
              <w:spacing w:after="200" w:line="276" w:lineRule="auto"/>
              <w:rPr>
                <w:lang w:eastAsia="en-GB"/>
              </w:rPr>
            </w:pPr>
          </w:p>
          <w:p w14:paraId="7E401257" w14:textId="77777777" w:rsidR="009F50E1" w:rsidRDefault="009F50E1">
            <w:pPr>
              <w:spacing w:after="200" w:line="276" w:lineRule="auto"/>
              <w:rPr>
                <w:lang w:eastAsia="en-GB"/>
              </w:rPr>
            </w:pPr>
          </w:p>
          <w:p w14:paraId="7B0C7CF4" w14:textId="77777777" w:rsidR="009F50E1" w:rsidRDefault="009F50E1">
            <w:pPr>
              <w:spacing w:after="200" w:line="276" w:lineRule="auto"/>
              <w:rPr>
                <w:lang w:eastAsia="en-GB"/>
              </w:rPr>
            </w:pPr>
          </w:p>
          <w:p w14:paraId="29228578" w14:textId="77777777" w:rsidR="009F50E1" w:rsidRDefault="009F50E1">
            <w:pPr>
              <w:spacing w:after="200" w:line="276" w:lineRule="auto"/>
              <w:rPr>
                <w:lang w:eastAsia="en-GB"/>
              </w:rPr>
            </w:pPr>
          </w:p>
          <w:p w14:paraId="2C670491" w14:textId="77777777" w:rsidR="009F50E1" w:rsidRDefault="009F50E1">
            <w:pPr>
              <w:spacing w:after="200" w:line="276" w:lineRule="auto"/>
              <w:rPr>
                <w:lang w:eastAsia="en-GB"/>
              </w:rPr>
            </w:pPr>
          </w:p>
          <w:p w14:paraId="0726FC75" w14:textId="77777777" w:rsidR="009F50E1" w:rsidRDefault="009F50E1">
            <w:pPr>
              <w:spacing w:after="200" w:line="276" w:lineRule="auto"/>
              <w:rPr>
                <w:lang w:eastAsia="en-GB"/>
              </w:rPr>
            </w:pPr>
          </w:p>
          <w:p w14:paraId="7DAFB671" w14:textId="77777777" w:rsidR="009F50E1" w:rsidRDefault="009F50E1">
            <w:pPr>
              <w:spacing w:after="200" w:line="276" w:lineRule="auto"/>
              <w:rPr>
                <w:lang w:eastAsia="en-GB"/>
              </w:rPr>
            </w:pPr>
          </w:p>
          <w:p w14:paraId="58F7181E" w14:textId="77777777" w:rsidR="009F50E1" w:rsidRDefault="009F50E1">
            <w:pPr>
              <w:spacing w:after="200" w:line="276" w:lineRule="auto"/>
              <w:rPr>
                <w:lang w:eastAsia="en-GB"/>
              </w:rPr>
            </w:pPr>
          </w:p>
          <w:p w14:paraId="1A651589" w14:textId="77777777" w:rsidR="009F50E1" w:rsidRDefault="009F50E1">
            <w:pPr>
              <w:spacing w:after="200" w:line="276" w:lineRule="auto"/>
              <w:rPr>
                <w:lang w:eastAsia="en-GB"/>
              </w:rPr>
            </w:pPr>
          </w:p>
          <w:p w14:paraId="32F7EC0E" w14:textId="77777777" w:rsidR="009F50E1" w:rsidRDefault="009F50E1">
            <w:pPr>
              <w:spacing w:after="200" w:line="276" w:lineRule="auto"/>
              <w:rPr>
                <w:lang w:eastAsia="en-GB"/>
              </w:rPr>
            </w:pPr>
          </w:p>
        </w:tc>
      </w:tr>
      <w:tr w:rsidR="009F50E1" w14:paraId="7D83A7B4" w14:textId="77777777" w:rsidTr="009F50E1">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4A154445"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CE8DB9E" w14:textId="77777777" w:rsidR="009F50E1" w:rsidRDefault="009F50E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C3DF9FC" w14:textId="77777777" w:rsidR="009F50E1" w:rsidRDefault="009F50E1">
            <w:pPr>
              <w:spacing w:after="200" w:line="276" w:lineRule="auto"/>
              <w:ind w:left="20"/>
              <w:rPr>
                <w:lang w:eastAsia="en-GB"/>
              </w:rPr>
            </w:pPr>
          </w:p>
          <w:p w14:paraId="70AC4496" w14:textId="77777777" w:rsidR="009F50E1" w:rsidRDefault="009F50E1">
            <w:pPr>
              <w:spacing w:after="200" w:line="276" w:lineRule="auto"/>
              <w:ind w:left="20"/>
              <w:rPr>
                <w:lang w:eastAsia="en-GB"/>
              </w:rPr>
            </w:pPr>
          </w:p>
          <w:p w14:paraId="1BD01B11" w14:textId="77777777" w:rsidR="009F50E1" w:rsidRDefault="009F50E1">
            <w:pPr>
              <w:spacing w:after="200" w:line="276" w:lineRule="auto"/>
              <w:ind w:left="20"/>
              <w:rPr>
                <w:lang w:eastAsia="en-GB"/>
              </w:rPr>
            </w:pPr>
          </w:p>
          <w:p w14:paraId="19AB164C" w14:textId="77777777" w:rsidR="009F50E1" w:rsidRDefault="009F50E1">
            <w:pPr>
              <w:spacing w:after="200" w:line="276" w:lineRule="auto"/>
              <w:ind w:left="20"/>
              <w:rPr>
                <w:lang w:eastAsia="en-GB"/>
              </w:rPr>
            </w:pPr>
          </w:p>
          <w:p w14:paraId="53832126" w14:textId="77777777" w:rsidR="009F50E1" w:rsidRDefault="009F50E1">
            <w:pPr>
              <w:spacing w:after="200" w:line="276" w:lineRule="auto"/>
              <w:ind w:left="20"/>
              <w:rPr>
                <w:lang w:eastAsia="en-GB"/>
              </w:rPr>
            </w:pPr>
          </w:p>
          <w:p w14:paraId="689B89D7" w14:textId="77777777" w:rsidR="009F50E1" w:rsidRDefault="009F50E1">
            <w:pPr>
              <w:spacing w:after="200" w:line="276" w:lineRule="auto"/>
              <w:ind w:left="20"/>
              <w:rPr>
                <w:lang w:eastAsia="en-GB"/>
              </w:rPr>
            </w:pPr>
          </w:p>
          <w:p w14:paraId="3203F18C" w14:textId="77777777" w:rsidR="009F50E1" w:rsidRDefault="009F50E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C5645AC" w14:textId="77777777" w:rsidR="009F50E1" w:rsidRDefault="009F50E1">
            <w:pPr>
              <w:rPr>
                <w:lang w:eastAsia="en-GB"/>
              </w:rPr>
            </w:pPr>
            <w:r>
              <w:rPr>
                <w:lang w:eastAsia="en-GB"/>
              </w:rPr>
              <w:t>Our study showed little evidence of any impact of HRT on survival from cancer, excluding breast cancer.  This should provide some reassurance to cancer patients receiving HRT and clinicians prescribing HRT.</w:t>
            </w:r>
          </w:p>
          <w:p w14:paraId="74BBD210" w14:textId="77777777" w:rsidR="009F50E1" w:rsidRDefault="009F50E1">
            <w:pPr>
              <w:rPr>
                <w:lang w:eastAsia="en-GB"/>
              </w:rPr>
            </w:pPr>
          </w:p>
          <w:p w14:paraId="6476B64F" w14:textId="77777777" w:rsidR="009F50E1" w:rsidRDefault="009F50E1">
            <w:pPr>
              <w:rPr>
                <w:lang w:eastAsia="en-GB"/>
              </w:rPr>
            </w:pPr>
          </w:p>
          <w:p w14:paraId="393CD056" w14:textId="77777777" w:rsidR="009F50E1" w:rsidRDefault="009F50E1">
            <w:pPr>
              <w:rPr>
                <w:lang w:eastAsia="en-GB"/>
              </w:rPr>
            </w:pPr>
          </w:p>
          <w:p w14:paraId="6D1152B3" w14:textId="77777777" w:rsidR="009F50E1" w:rsidRDefault="009F50E1">
            <w:pPr>
              <w:rPr>
                <w:lang w:eastAsia="en-GB"/>
              </w:rPr>
            </w:pPr>
          </w:p>
          <w:p w14:paraId="4C9E869A" w14:textId="77777777" w:rsidR="009F50E1" w:rsidRDefault="009F50E1">
            <w:pPr>
              <w:rPr>
                <w:lang w:eastAsia="en-GB"/>
              </w:rPr>
            </w:pPr>
          </w:p>
          <w:p w14:paraId="789E993C" w14:textId="77777777" w:rsidR="009F50E1" w:rsidRDefault="009F50E1">
            <w:pPr>
              <w:rPr>
                <w:lang w:eastAsia="en-GB"/>
              </w:rPr>
            </w:pPr>
          </w:p>
          <w:p w14:paraId="77698416" w14:textId="77777777" w:rsidR="009F50E1" w:rsidRDefault="009F50E1">
            <w:pPr>
              <w:rPr>
                <w:lang w:eastAsia="en-GB"/>
              </w:rPr>
            </w:pPr>
          </w:p>
          <w:p w14:paraId="25FD3269" w14:textId="77777777" w:rsidR="009F50E1" w:rsidRDefault="009F50E1">
            <w:pPr>
              <w:rPr>
                <w:lang w:eastAsia="en-GB"/>
              </w:rPr>
            </w:pPr>
          </w:p>
        </w:tc>
      </w:tr>
      <w:tr w:rsidR="009F50E1" w14:paraId="319EAFA9"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C5A21F" w14:textId="77777777" w:rsidR="009F50E1" w:rsidRDefault="009F50E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E9514F" w14:textId="77777777" w:rsidR="009F50E1" w:rsidRDefault="009F50E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E11992" w14:textId="77777777" w:rsidR="009F50E1" w:rsidRDefault="009F50E1">
            <w:pPr>
              <w:spacing w:after="200" w:line="276" w:lineRule="auto"/>
              <w:ind w:left="360"/>
              <w:rPr>
                <w:lang w:eastAsia="en-GB"/>
              </w:rPr>
            </w:pPr>
          </w:p>
        </w:tc>
      </w:tr>
      <w:tr w:rsidR="009F50E1" w14:paraId="3E354289" w14:textId="77777777" w:rsidTr="009F50E1">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2FC5B406"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E98048C" w14:textId="77777777" w:rsidR="009F50E1" w:rsidRDefault="009F50E1">
            <w:pPr>
              <w:spacing w:after="200" w:line="276" w:lineRule="auto"/>
              <w:ind w:left="20"/>
              <w:rPr>
                <w:lang w:eastAsia="en-GB"/>
              </w:rPr>
            </w:pPr>
            <w:r>
              <w:rPr>
                <w:lang w:eastAsia="en-GB"/>
              </w:rPr>
              <w:t xml:space="preserve">What data were received/processed/collected? </w:t>
            </w:r>
          </w:p>
          <w:p w14:paraId="38F35BCE" w14:textId="77777777" w:rsidR="009F50E1" w:rsidRDefault="009F50E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B15CBB8" w14:textId="77777777" w:rsidR="009F50E1" w:rsidRDefault="009F50E1">
            <w:pPr>
              <w:rPr>
                <w:lang w:eastAsia="en-GB"/>
              </w:rPr>
            </w:pPr>
            <w:r>
              <w:rPr>
                <w:lang w:eastAsia="en-GB"/>
              </w:rPr>
              <w:t xml:space="preserve">Data were received on cohorts of female cancer patients (from cancer registry records), prescribed medications (such as HRT, from the PIS) and cancer-specific mortality (from national mortality records). </w:t>
            </w:r>
          </w:p>
        </w:tc>
      </w:tr>
      <w:tr w:rsidR="009F50E1" w14:paraId="6950F91C"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4662CE" w14:textId="77777777" w:rsidR="009F50E1" w:rsidRDefault="009F50E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4934ED" w14:textId="77777777" w:rsidR="009F50E1" w:rsidRDefault="009F50E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805BDD" w14:textId="77777777" w:rsidR="009F50E1" w:rsidRDefault="009F50E1">
            <w:pPr>
              <w:spacing w:after="200" w:line="276" w:lineRule="auto"/>
              <w:ind w:left="360"/>
              <w:rPr>
                <w:lang w:eastAsia="en-GB"/>
              </w:rPr>
            </w:pPr>
          </w:p>
        </w:tc>
      </w:tr>
      <w:tr w:rsidR="009F50E1" w14:paraId="51DBADD2" w14:textId="77777777" w:rsidTr="009F50E1">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271A07B"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266B72" w14:textId="77777777" w:rsidR="009F50E1" w:rsidRDefault="009F50E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8F4C94F" w14:textId="77777777" w:rsidR="009F50E1" w:rsidRDefault="009F50E1">
            <w:pPr>
              <w:rPr>
                <w:lang w:eastAsia="en-GB"/>
              </w:rPr>
            </w:pPr>
            <w:r>
              <w:rPr>
                <w:lang w:eastAsia="en-GB"/>
              </w:rPr>
              <w:t xml:space="preserve">The data used are routinely captured in Scotland. No new data collection was undertaken. </w:t>
            </w:r>
          </w:p>
        </w:tc>
      </w:tr>
      <w:tr w:rsidR="009F50E1" w14:paraId="2848462F" w14:textId="77777777" w:rsidTr="009F50E1">
        <w:trPr>
          <w:trHeight w:hRule="exac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82E1F" w14:textId="77777777" w:rsidR="009F50E1" w:rsidRDefault="009F50E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5FE5D7D" w14:textId="77777777" w:rsidR="009F50E1" w:rsidRDefault="009F50E1">
            <w:pPr>
              <w:ind w:left="23"/>
              <w:rPr>
                <w:lang w:eastAsia="en-GB"/>
              </w:rPr>
            </w:pPr>
            <w:r>
              <w:rPr>
                <w:lang w:eastAsia="en-GB"/>
              </w:rPr>
              <w:t xml:space="preserve">How did you process the data? </w:t>
            </w:r>
          </w:p>
          <w:p w14:paraId="5A55528F" w14:textId="77777777" w:rsidR="009F50E1" w:rsidRDefault="009F50E1">
            <w:pPr>
              <w:ind w:left="23"/>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64D2319" w14:textId="77777777" w:rsidR="009F50E1" w:rsidRDefault="009F50E1">
            <w:pPr>
              <w:ind w:left="23"/>
              <w:rPr>
                <w:lang w:eastAsia="en-GB"/>
              </w:rPr>
            </w:pPr>
            <w:r>
              <w:rPr>
                <w:lang w:eastAsia="en-GB"/>
              </w:rPr>
              <w:t>The data were analysed within the National Safe Haven.</w:t>
            </w:r>
          </w:p>
        </w:tc>
      </w:tr>
      <w:tr w:rsidR="009F50E1" w14:paraId="515B0445" w14:textId="77777777" w:rsidTr="009F50E1">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93337" w14:textId="77777777" w:rsidR="009F50E1" w:rsidRDefault="009F50E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EEC363" w14:textId="77777777" w:rsidR="009F50E1" w:rsidRDefault="009F50E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0CA70EC" w14:textId="77777777" w:rsidR="009F50E1" w:rsidRDefault="009F50E1">
            <w:pPr>
              <w:rPr>
                <w:lang w:eastAsia="en-GB"/>
              </w:rPr>
            </w:pPr>
            <w:r>
              <w:rPr>
                <w:lang w:eastAsia="en-GB"/>
              </w:rPr>
              <w:t>A manuscript has been prepared and is undergoing peer review.</w:t>
            </w:r>
          </w:p>
        </w:tc>
      </w:tr>
      <w:tr w:rsidR="009F50E1" w14:paraId="7A7F4521" w14:textId="77777777" w:rsidTr="009F50E1">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FB28B" w14:textId="77777777" w:rsidR="009F50E1" w:rsidRDefault="009F50E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431526A" w14:textId="77777777" w:rsidR="009F50E1" w:rsidRDefault="009F50E1">
            <w:pPr>
              <w:spacing w:after="200" w:line="276" w:lineRule="auto"/>
              <w:ind w:left="20"/>
              <w:rPr>
                <w:lang w:eastAsia="en-GB"/>
              </w:rPr>
            </w:pPr>
            <w:r>
              <w:rPr>
                <w:lang w:eastAsia="en-GB"/>
              </w:rPr>
              <w:t>Did your study scope change from its original aims? Please give brief details.</w:t>
            </w:r>
          </w:p>
          <w:p w14:paraId="23339722" w14:textId="77777777" w:rsidR="009F50E1" w:rsidRDefault="009F50E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D39B91D" w14:textId="77777777" w:rsidR="009F50E1" w:rsidRDefault="009F50E1">
            <w:pPr>
              <w:rPr>
                <w:lang w:eastAsia="en-GB"/>
              </w:rPr>
            </w:pPr>
            <w:r>
              <w:rPr>
                <w:lang w:eastAsia="en-GB"/>
              </w:rPr>
              <w:t>There were no major departures from the original study aims.</w:t>
            </w:r>
          </w:p>
        </w:tc>
      </w:tr>
      <w:tr w:rsidR="009F50E1" w14:paraId="1A182635"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8BFAA5" w14:textId="77777777" w:rsidR="009F50E1" w:rsidRDefault="009F50E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1B8F4B" w14:textId="77777777" w:rsidR="009F50E1" w:rsidRDefault="009F50E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54F3C2" w14:textId="77777777" w:rsidR="009F50E1" w:rsidRDefault="009F50E1">
            <w:pPr>
              <w:spacing w:after="200" w:line="276" w:lineRule="auto"/>
              <w:ind w:left="360"/>
              <w:rPr>
                <w:lang w:eastAsia="en-GB"/>
              </w:rPr>
            </w:pPr>
          </w:p>
        </w:tc>
      </w:tr>
      <w:tr w:rsidR="009F50E1" w14:paraId="4D689141" w14:textId="77777777" w:rsidTr="009F50E1">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B7E72BB"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D04419B" w14:textId="77777777" w:rsidR="009F50E1" w:rsidRDefault="009F50E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55B0B3" w14:textId="77777777" w:rsidR="009F50E1" w:rsidRDefault="009F50E1">
            <w:pPr>
              <w:rPr>
                <w:lang w:eastAsia="en-GB"/>
              </w:rPr>
            </w:pPr>
            <w:r>
              <w:rPr>
                <w:lang w:eastAsia="en-GB"/>
              </w:rPr>
              <w:t>There was no evidence that cancer patients using HRT had higher cancer-specific mortality at any cancer site, excluding breast cancer which was not investigated.</w:t>
            </w:r>
          </w:p>
        </w:tc>
      </w:tr>
      <w:tr w:rsidR="009F50E1" w14:paraId="41374BD2" w14:textId="77777777" w:rsidTr="009F50E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99365E" w14:textId="77777777" w:rsidR="009F50E1" w:rsidRDefault="009F50E1">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C7801F" w14:textId="77777777" w:rsidR="009F50E1" w:rsidRDefault="009F50E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8B2C82" w14:textId="77777777" w:rsidR="009F50E1" w:rsidRDefault="009F50E1">
            <w:pPr>
              <w:spacing w:after="200" w:line="276" w:lineRule="auto"/>
              <w:ind w:left="360"/>
              <w:rPr>
                <w:lang w:eastAsia="en-GB"/>
              </w:rPr>
            </w:pPr>
          </w:p>
        </w:tc>
      </w:tr>
      <w:tr w:rsidR="009F50E1" w14:paraId="12C07C40" w14:textId="77777777" w:rsidTr="009F50E1">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16493E8" w14:textId="77777777" w:rsidR="009F50E1" w:rsidRDefault="009F50E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A8ACBE1" w14:textId="77777777" w:rsidR="009F50E1" w:rsidRDefault="009F50E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BC2ABE" w14:textId="77777777" w:rsidR="009F50E1" w:rsidRDefault="009F50E1">
            <w:pPr>
              <w:rPr>
                <w:lang w:eastAsia="en-GB"/>
              </w:rPr>
            </w:pPr>
            <w:r>
              <w:rPr>
                <w:lang w:eastAsia="en-GB"/>
              </w:rPr>
              <w:t xml:space="preserve">Yes, there were weaknesses in some of the available data highlighting the need for additional analyses to confirm these results. </w:t>
            </w:r>
          </w:p>
        </w:tc>
      </w:tr>
    </w:tbl>
    <w:p w14:paraId="7D6B6E70" w14:textId="77777777" w:rsidR="009F50E1" w:rsidRDefault="009F50E1" w:rsidP="009F50E1">
      <w:pPr>
        <w:spacing w:line="240" w:lineRule="auto"/>
        <w:ind w:left="-851"/>
        <w:rPr>
          <w:rFonts w:ascii="Arial" w:eastAsia="Times New Roman" w:hAnsi="Arial" w:cs="Arial"/>
          <w:lang w:eastAsia="en-GB"/>
        </w:rPr>
      </w:pPr>
    </w:p>
    <w:p w14:paraId="4E587162" w14:textId="77777777" w:rsidR="00742CFA" w:rsidRDefault="00742CFA" w:rsidP="00742CFA">
      <w:pPr>
        <w:pStyle w:val="NoSpacing"/>
        <w:rPr>
          <w:b/>
          <w:sz w:val="24"/>
          <w:szCs w:val="24"/>
        </w:rPr>
      </w:pPr>
    </w:p>
    <w:p w14:paraId="08E098C5" w14:textId="6DBBCA93" w:rsidR="00742CFA" w:rsidRDefault="002D65EE" w:rsidP="002D65EE">
      <w:pPr>
        <w:pStyle w:val="Heading2"/>
      </w:pPr>
      <w:bookmarkStart w:id="23" w:name="_1920-0048_Dr_Sarah"/>
      <w:bookmarkEnd w:id="23"/>
      <w:r w:rsidRPr="002D65EE">
        <w:t>1920-0048</w:t>
      </w:r>
      <w:r w:rsidRPr="002D65EE">
        <w:tab/>
        <w:t>Dr Sarah Savaridas</w:t>
      </w:r>
    </w:p>
    <w:p w14:paraId="391DD9AA" w14:textId="77777777" w:rsidR="002D65EE" w:rsidRPr="002D65EE" w:rsidRDefault="002D65EE" w:rsidP="002D65EE"/>
    <w:p w14:paraId="2B787CB2" w14:textId="0BC3149A" w:rsidR="002D65EE" w:rsidRDefault="002D65EE" w:rsidP="002D65EE">
      <w:pPr>
        <w:rPr>
          <w:b/>
          <w:sz w:val="24"/>
          <w:szCs w:val="24"/>
        </w:rPr>
      </w:pPr>
      <w:r w:rsidRPr="002D65EE">
        <w:rPr>
          <w:b/>
          <w:sz w:val="24"/>
          <w:szCs w:val="24"/>
        </w:rPr>
        <w:t>MEDICI (Mammographic Predictors of Cancer Recurrence after Breast Conservation and Adjuvant Endocrine Therapy)</w:t>
      </w:r>
    </w:p>
    <w:p w14:paraId="351EEB6D" w14:textId="77777777" w:rsidR="002D65EE" w:rsidRDefault="002D65EE" w:rsidP="002D65EE">
      <w:pPr>
        <w:spacing w:line="240" w:lineRule="auto"/>
        <w:jc w:val="center"/>
        <w:rPr>
          <w:b/>
          <w:sz w:val="32"/>
        </w:rPr>
      </w:pPr>
      <w:r>
        <w:rPr>
          <w:b/>
          <w:sz w:val="32"/>
        </w:rPr>
        <w:t>The Public Benefit Impact Summary</w:t>
      </w:r>
    </w:p>
    <w:p w14:paraId="7E3A9254" w14:textId="77777777" w:rsidR="002D65EE" w:rsidRDefault="002D65EE" w:rsidP="002D65EE">
      <w:pPr>
        <w:rPr>
          <w:b/>
        </w:rPr>
      </w:pPr>
    </w:p>
    <w:tbl>
      <w:tblPr>
        <w:tblStyle w:val="TableGrid"/>
        <w:tblW w:w="6211" w:type="pct"/>
        <w:tblInd w:w="-998" w:type="dxa"/>
        <w:tblLook w:val="04A0" w:firstRow="1" w:lastRow="0" w:firstColumn="1" w:lastColumn="0" w:noHBand="0" w:noVBand="1"/>
      </w:tblPr>
      <w:tblGrid>
        <w:gridCol w:w="388"/>
        <w:gridCol w:w="3196"/>
        <w:gridCol w:w="7616"/>
      </w:tblGrid>
      <w:tr w:rsidR="002D65EE" w14:paraId="78AA3B1A"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0CA9A3" w14:textId="77777777" w:rsidR="002D65EE" w:rsidRDefault="002D65EE">
            <w:pPr>
              <w:spacing w:after="200" w:line="276" w:lineRule="auto"/>
              <w:rPr>
                <w:rFonts w:ascii="Arial" w:eastAsia="Times New Roman" w:hAnsi="Arial" w:cs="Arial"/>
                <w:lang w:eastAsia="en-GB"/>
              </w:rPr>
            </w:pPr>
            <w:r>
              <w:rPr>
                <w:lang w:eastAsia="en-GB"/>
              </w:rPr>
              <w:t>1</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D49548" w14:textId="77777777" w:rsidR="002D65EE" w:rsidRDefault="002D65EE">
            <w:pPr>
              <w:spacing w:after="200" w:line="276" w:lineRule="auto"/>
              <w:ind w:left="20"/>
              <w:rPr>
                <w:b/>
                <w:lang w:eastAsia="en-GB"/>
              </w:rPr>
            </w:pPr>
            <w:r>
              <w:rPr>
                <w:b/>
                <w:lang w:eastAsia="en-GB"/>
              </w:rPr>
              <w:t>Aims</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6F8E12" w14:textId="77777777" w:rsidR="002D65EE" w:rsidRDefault="002D65EE">
            <w:pPr>
              <w:spacing w:after="200" w:line="276" w:lineRule="auto"/>
              <w:ind w:left="360"/>
              <w:rPr>
                <w:lang w:eastAsia="en-GB"/>
              </w:rPr>
            </w:pPr>
          </w:p>
        </w:tc>
      </w:tr>
      <w:tr w:rsidR="002D65EE" w14:paraId="56DD43EE" w14:textId="77777777" w:rsidTr="002D65EE">
        <w:trPr>
          <w:trHeight w:hRule="exact" w:val="2223"/>
        </w:trPr>
        <w:tc>
          <w:tcPr>
            <w:tcW w:w="173" w:type="pct"/>
            <w:tcBorders>
              <w:top w:val="single" w:sz="4" w:space="0" w:color="auto"/>
              <w:left w:val="single" w:sz="4" w:space="0" w:color="auto"/>
              <w:bottom w:val="single" w:sz="4" w:space="0" w:color="auto"/>
              <w:right w:val="single" w:sz="4" w:space="0" w:color="auto"/>
            </w:tcBorders>
            <w:vAlign w:val="center"/>
          </w:tcPr>
          <w:p w14:paraId="35AA4A3C"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60EEA7F3" w14:textId="77777777" w:rsidR="002D65EE" w:rsidRDefault="002D65EE">
            <w:pPr>
              <w:spacing w:after="200" w:line="276" w:lineRule="auto"/>
              <w:ind w:left="20"/>
              <w:rPr>
                <w:lang w:eastAsia="en-GB"/>
              </w:rPr>
            </w:pPr>
            <w:r>
              <w:rPr>
                <w:lang w:eastAsia="en-GB"/>
              </w:rPr>
              <w:t>What did the study set out to achieve?</w:t>
            </w:r>
          </w:p>
        </w:tc>
        <w:tc>
          <w:tcPr>
            <w:tcW w:w="3400" w:type="pct"/>
            <w:tcBorders>
              <w:top w:val="single" w:sz="4" w:space="0" w:color="auto"/>
              <w:left w:val="single" w:sz="4" w:space="0" w:color="auto"/>
              <w:bottom w:val="single" w:sz="4" w:space="0" w:color="auto"/>
              <w:right w:val="single" w:sz="4" w:space="0" w:color="auto"/>
            </w:tcBorders>
            <w:vAlign w:val="center"/>
          </w:tcPr>
          <w:p w14:paraId="3EAE1268" w14:textId="77777777" w:rsidR="002D65EE" w:rsidRDefault="002D65EE">
            <w:pPr>
              <w:rPr>
                <w:lang w:eastAsia="en-GB"/>
              </w:rPr>
            </w:pPr>
            <w:r>
              <w:rPr>
                <w:lang w:eastAsia="en-GB"/>
              </w:rPr>
              <w:t>The MEDICI study primarily aimed to determine if changes in breast tissue density</w:t>
            </w:r>
            <w:r>
              <w:rPr>
                <w:rFonts w:eastAsiaTheme="majorEastAsia"/>
                <w:lang w:eastAsia="en-GB"/>
              </w:rPr>
              <w:t xml:space="preserve"> </w:t>
            </w:r>
            <w:r>
              <w:rPr>
                <w:lang w:eastAsia="en-GB"/>
              </w:rPr>
              <w:t>and/or mammographic texture, as seen on mammograms, could serve as imaging markers to show how effective a common hormone treatment called adjuvant endocrine therapy (AET) was</w:t>
            </w:r>
            <w:r>
              <w:rPr>
                <w:rFonts w:eastAsiaTheme="majorEastAsia"/>
                <w:lang w:eastAsia="en-GB"/>
              </w:rPr>
              <w:t xml:space="preserve">.  </w:t>
            </w:r>
            <w:r>
              <w:rPr>
                <w:lang w:eastAsia="en-GB"/>
              </w:rPr>
              <w:t xml:space="preserve">The </w:t>
            </w:r>
            <w:r>
              <w:rPr>
                <w:rFonts w:eastAsiaTheme="majorEastAsia"/>
                <w:lang w:eastAsia="en-GB"/>
              </w:rPr>
              <w:t>main concept</w:t>
            </w:r>
            <w:r>
              <w:rPr>
                <w:lang w:eastAsia="en-GB"/>
              </w:rPr>
              <w:t xml:space="preserve"> was that a reduction in breast tissue density or a change in its pattern after starting AET would predict a lower chance of breast cancer returning or causing death</w:t>
            </w:r>
            <w:r>
              <w:rPr>
                <w:rFonts w:eastAsiaTheme="majorEastAsia"/>
                <w:lang w:eastAsia="en-GB"/>
              </w:rPr>
              <w:t>.</w:t>
            </w:r>
          </w:p>
          <w:p w14:paraId="370506A9" w14:textId="77777777" w:rsidR="002D65EE" w:rsidRDefault="002D65EE">
            <w:pPr>
              <w:spacing w:line="360" w:lineRule="auto"/>
              <w:rPr>
                <w:lang w:eastAsia="en-GB"/>
              </w:rPr>
            </w:pPr>
          </w:p>
        </w:tc>
      </w:tr>
      <w:tr w:rsidR="002D65EE" w14:paraId="22CFAC74"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83E6B1" w14:textId="77777777" w:rsidR="002D65EE" w:rsidRDefault="002D65EE">
            <w:pPr>
              <w:spacing w:after="200" w:line="276" w:lineRule="auto"/>
              <w:rPr>
                <w:lang w:eastAsia="en-GB"/>
              </w:rPr>
            </w:pPr>
            <w:r>
              <w:rPr>
                <w:lang w:eastAsia="en-GB"/>
              </w:rPr>
              <w:t>2</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35D6FD" w14:textId="77777777" w:rsidR="002D65EE" w:rsidRDefault="002D65EE">
            <w:pPr>
              <w:spacing w:after="200" w:line="276" w:lineRule="auto"/>
              <w:ind w:left="20"/>
              <w:rPr>
                <w:b/>
                <w:lang w:eastAsia="en-GB"/>
              </w:rPr>
            </w:pPr>
            <w:r>
              <w:rPr>
                <w:b/>
                <w:lang w:eastAsia="en-GB"/>
              </w:rPr>
              <w:t>Public Benefit Impact</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8574B6" w14:textId="77777777" w:rsidR="002D65EE" w:rsidRDefault="002D65EE">
            <w:pPr>
              <w:spacing w:after="200" w:line="276" w:lineRule="auto"/>
              <w:ind w:left="360"/>
              <w:rPr>
                <w:lang w:eastAsia="en-GB"/>
              </w:rPr>
            </w:pPr>
          </w:p>
          <w:p w14:paraId="32DB5664" w14:textId="77777777" w:rsidR="002D65EE" w:rsidRDefault="002D65EE">
            <w:pPr>
              <w:spacing w:after="200" w:line="276" w:lineRule="auto"/>
              <w:rPr>
                <w:lang w:eastAsia="en-GB"/>
              </w:rPr>
            </w:pPr>
          </w:p>
          <w:p w14:paraId="238DFFF0" w14:textId="77777777" w:rsidR="002D65EE" w:rsidRDefault="002D65EE">
            <w:pPr>
              <w:spacing w:after="200" w:line="276" w:lineRule="auto"/>
              <w:rPr>
                <w:lang w:eastAsia="en-GB"/>
              </w:rPr>
            </w:pPr>
          </w:p>
          <w:p w14:paraId="19A06A37" w14:textId="77777777" w:rsidR="002D65EE" w:rsidRDefault="002D65EE">
            <w:pPr>
              <w:spacing w:after="200" w:line="276" w:lineRule="auto"/>
              <w:rPr>
                <w:lang w:eastAsia="en-GB"/>
              </w:rPr>
            </w:pPr>
          </w:p>
          <w:p w14:paraId="3A177328" w14:textId="77777777" w:rsidR="002D65EE" w:rsidRDefault="002D65EE">
            <w:pPr>
              <w:spacing w:after="200" w:line="276" w:lineRule="auto"/>
              <w:rPr>
                <w:lang w:eastAsia="en-GB"/>
              </w:rPr>
            </w:pPr>
          </w:p>
          <w:p w14:paraId="30A9A1B2" w14:textId="77777777" w:rsidR="002D65EE" w:rsidRDefault="002D65EE">
            <w:pPr>
              <w:spacing w:after="200" w:line="276" w:lineRule="auto"/>
              <w:rPr>
                <w:lang w:eastAsia="en-GB"/>
              </w:rPr>
            </w:pPr>
          </w:p>
          <w:p w14:paraId="76ACED2C" w14:textId="77777777" w:rsidR="002D65EE" w:rsidRDefault="002D65EE">
            <w:pPr>
              <w:spacing w:after="200" w:line="276" w:lineRule="auto"/>
              <w:rPr>
                <w:lang w:eastAsia="en-GB"/>
              </w:rPr>
            </w:pPr>
          </w:p>
          <w:p w14:paraId="6313A413" w14:textId="77777777" w:rsidR="002D65EE" w:rsidRDefault="002D65EE">
            <w:pPr>
              <w:spacing w:after="200" w:line="276" w:lineRule="auto"/>
              <w:rPr>
                <w:lang w:eastAsia="en-GB"/>
              </w:rPr>
            </w:pPr>
          </w:p>
          <w:p w14:paraId="038A46BF" w14:textId="77777777" w:rsidR="002D65EE" w:rsidRDefault="002D65EE">
            <w:pPr>
              <w:spacing w:after="200" w:line="276" w:lineRule="auto"/>
              <w:rPr>
                <w:lang w:eastAsia="en-GB"/>
              </w:rPr>
            </w:pPr>
          </w:p>
          <w:p w14:paraId="6AC8B8B1" w14:textId="77777777" w:rsidR="002D65EE" w:rsidRDefault="002D65EE">
            <w:pPr>
              <w:spacing w:after="200" w:line="276" w:lineRule="auto"/>
              <w:rPr>
                <w:lang w:eastAsia="en-GB"/>
              </w:rPr>
            </w:pPr>
          </w:p>
          <w:p w14:paraId="31625E0E" w14:textId="77777777" w:rsidR="002D65EE" w:rsidRDefault="002D65EE">
            <w:pPr>
              <w:spacing w:after="200" w:line="276" w:lineRule="auto"/>
              <w:rPr>
                <w:lang w:eastAsia="en-GB"/>
              </w:rPr>
            </w:pPr>
          </w:p>
          <w:p w14:paraId="25BF0D63" w14:textId="77777777" w:rsidR="002D65EE" w:rsidRDefault="002D65EE">
            <w:pPr>
              <w:spacing w:after="200" w:line="276" w:lineRule="auto"/>
              <w:rPr>
                <w:lang w:eastAsia="en-GB"/>
              </w:rPr>
            </w:pPr>
          </w:p>
          <w:p w14:paraId="2D7161B0" w14:textId="77777777" w:rsidR="002D65EE" w:rsidRDefault="002D65EE">
            <w:pPr>
              <w:spacing w:after="200" w:line="276" w:lineRule="auto"/>
              <w:rPr>
                <w:lang w:eastAsia="en-GB"/>
              </w:rPr>
            </w:pPr>
          </w:p>
          <w:p w14:paraId="71BD64CB" w14:textId="77777777" w:rsidR="002D65EE" w:rsidRDefault="002D65EE">
            <w:pPr>
              <w:spacing w:after="200" w:line="276" w:lineRule="auto"/>
              <w:rPr>
                <w:lang w:eastAsia="en-GB"/>
              </w:rPr>
            </w:pPr>
          </w:p>
          <w:p w14:paraId="09D0A102" w14:textId="77777777" w:rsidR="002D65EE" w:rsidRDefault="002D65EE">
            <w:pPr>
              <w:spacing w:after="200" w:line="276" w:lineRule="auto"/>
              <w:rPr>
                <w:lang w:eastAsia="en-GB"/>
              </w:rPr>
            </w:pPr>
          </w:p>
          <w:p w14:paraId="23BD7483" w14:textId="77777777" w:rsidR="002D65EE" w:rsidRDefault="002D65EE">
            <w:pPr>
              <w:spacing w:after="200" w:line="276" w:lineRule="auto"/>
              <w:rPr>
                <w:lang w:eastAsia="en-GB"/>
              </w:rPr>
            </w:pPr>
          </w:p>
          <w:p w14:paraId="362B9491" w14:textId="77777777" w:rsidR="002D65EE" w:rsidRDefault="002D65EE">
            <w:pPr>
              <w:spacing w:after="200" w:line="276" w:lineRule="auto"/>
              <w:rPr>
                <w:lang w:eastAsia="en-GB"/>
              </w:rPr>
            </w:pPr>
          </w:p>
          <w:p w14:paraId="40EF4363" w14:textId="77777777" w:rsidR="002D65EE" w:rsidRDefault="002D65EE">
            <w:pPr>
              <w:spacing w:after="200" w:line="276" w:lineRule="auto"/>
              <w:rPr>
                <w:lang w:eastAsia="en-GB"/>
              </w:rPr>
            </w:pPr>
          </w:p>
          <w:p w14:paraId="35F8F619" w14:textId="77777777" w:rsidR="002D65EE" w:rsidRDefault="002D65EE">
            <w:pPr>
              <w:spacing w:after="200" w:line="276" w:lineRule="auto"/>
              <w:rPr>
                <w:lang w:eastAsia="en-GB"/>
              </w:rPr>
            </w:pPr>
          </w:p>
          <w:p w14:paraId="2B05DB59" w14:textId="77777777" w:rsidR="002D65EE" w:rsidRDefault="002D65EE">
            <w:pPr>
              <w:spacing w:after="200" w:line="276" w:lineRule="auto"/>
              <w:rPr>
                <w:lang w:eastAsia="en-GB"/>
              </w:rPr>
            </w:pPr>
          </w:p>
          <w:p w14:paraId="1ABCBD00" w14:textId="77777777" w:rsidR="002D65EE" w:rsidRDefault="002D65EE">
            <w:pPr>
              <w:spacing w:after="200" w:line="276" w:lineRule="auto"/>
              <w:rPr>
                <w:lang w:eastAsia="en-GB"/>
              </w:rPr>
            </w:pPr>
          </w:p>
          <w:p w14:paraId="55AB7068" w14:textId="77777777" w:rsidR="002D65EE" w:rsidRDefault="002D65EE">
            <w:pPr>
              <w:spacing w:after="200" w:line="276" w:lineRule="auto"/>
              <w:rPr>
                <w:lang w:eastAsia="en-GB"/>
              </w:rPr>
            </w:pPr>
          </w:p>
          <w:p w14:paraId="2D042398" w14:textId="77777777" w:rsidR="002D65EE" w:rsidRDefault="002D65EE">
            <w:pPr>
              <w:spacing w:after="200" w:line="276" w:lineRule="auto"/>
              <w:rPr>
                <w:lang w:eastAsia="en-GB"/>
              </w:rPr>
            </w:pPr>
          </w:p>
          <w:p w14:paraId="12D64195" w14:textId="77777777" w:rsidR="002D65EE" w:rsidRDefault="002D65EE">
            <w:pPr>
              <w:spacing w:after="200" w:line="276" w:lineRule="auto"/>
              <w:rPr>
                <w:lang w:eastAsia="en-GB"/>
              </w:rPr>
            </w:pPr>
          </w:p>
          <w:p w14:paraId="409EAFEB" w14:textId="77777777" w:rsidR="002D65EE" w:rsidRDefault="002D65EE">
            <w:pPr>
              <w:spacing w:after="200" w:line="276" w:lineRule="auto"/>
              <w:rPr>
                <w:lang w:eastAsia="en-GB"/>
              </w:rPr>
            </w:pPr>
          </w:p>
        </w:tc>
      </w:tr>
      <w:tr w:rsidR="002D65EE" w14:paraId="1533E0C1" w14:textId="77777777" w:rsidTr="002D65EE">
        <w:trPr>
          <w:trHeight w:hRule="exact" w:val="2535"/>
        </w:trPr>
        <w:tc>
          <w:tcPr>
            <w:tcW w:w="173" w:type="pct"/>
            <w:tcBorders>
              <w:top w:val="single" w:sz="4" w:space="0" w:color="auto"/>
              <w:left w:val="single" w:sz="4" w:space="0" w:color="auto"/>
              <w:bottom w:val="single" w:sz="4" w:space="0" w:color="auto"/>
              <w:right w:val="single" w:sz="4" w:space="0" w:color="auto"/>
            </w:tcBorders>
            <w:vAlign w:val="center"/>
          </w:tcPr>
          <w:p w14:paraId="1417AF11"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tcPr>
          <w:p w14:paraId="6BA3D93E" w14:textId="77777777" w:rsidR="002D65EE" w:rsidRDefault="002D65EE">
            <w:pPr>
              <w:spacing w:after="200" w:line="276" w:lineRule="auto"/>
              <w:ind w:left="20"/>
              <w:rPr>
                <w:lang w:eastAsia="en-GB"/>
              </w:rPr>
            </w:pPr>
            <w:r>
              <w:rPr>
                <w:lang w:eastAsia="en-GB"/>
              </w:rPr>
              <w:t>How will these outcomes directly result in benefit for the public? Please give details. This should be the main section answered.</w:t>
            </w:r>
          </w:p>
          <w:p w14:paraId="07D216F7" w14:textId="77777777" w:rsidR="002D65EE" w:rsidRDefault="002D65EE">
            <w:pPr>
              <w:spacing w:after="200" w:line="276" w:lineRule="auto"/>
              <w:ind w:left="20"/>
              <w:rPr>
                <w:lang w:eastAsia="en-GB"/>
              </w:rPr>
            </w:pPr>
          </w:p>
          <w:p w14:paraId="21C7A386" w14:textId="77777777" w:rsidR="002D65EE" w:rsidRDefault="002D65EE">
            <w:pPr>
              <w:spacing w:after="200" w:line="276" w:lineRule="auto"/>
              <w:ind w:left="20"/>
              <w:rPr>
                <w:lang w:eastAsia="en-GB"/>
              </w:rPr>
            </w:pPr>
          </w:p>
          <w:p w14:paraId="02D92273" w14:textId="77777777" w:rsidR="002D65EE" w:rsidRDefault="002D65EE">
            <w:pPr>
              <w:spacing w:after="200" w:line="276" w:lineRule="auto"/>
              <w:ind w:left="20"/>
              <w:rPr>
                <w:lang w:eastAsia="en-GB"/>
              </w:rPr>
            </w:pPr>
          </w:p>
          <w:p w14:paraId="5F0B564A" w14:textId="77777777" w:rsidR="002D65EE" w:rsidRDefault="002D65EE">
            <w:pPr>
              <w:spacing w:after="200" w:line="276" w:lineRule="auto"/>
              <w:ind w:left="20"/>
              <w:rPr>
                <w:lang w:eastAsia="en-GB"/>
              </w:rPr>
            </w:pPr>
          </w:p>
          <w:p w14:paraId="50FA3DC9" w14:textId="77777777" w:rsidR="002D65EE" w:rsidRDefault="002D65EE">
            <w:pPr>
              <w:spacing w:after="200" w:line="276" w:lineRule="auto"/>
              <w:ind w:left="20"/>
              <w:rPr>
                <w:lang w:eastAsia="en-GB"/>
              </w:rPr>
            </w:pPr>
          </w:p>
          <w:p w14:paraId="2B211DE4" w14:textId="77777777" w:rsidR="002D65EE" w:rsidRDefault="002D65EE">
            <w:pPr>
              <w:spacing w:after="200" w:line="276" w:lineRule="auto"/>
              <w:ind w:left="20"/>
              <w:rPr>
                <w:lang w:eastAsia="en-GB"/>
              </w:rPr>
            </w:pPr>
          </w:p>
          <w:p w14:paraId="30846D73" w14:textId="77777777" w:rsidR="002D65EE" w:rsidRDefault="002D65EE">
            <w:pPr>
              <w:spacing w:after="200" w:line="276" w:lineRule="auto"/>
              <w:ind w:left="20"/>
              <w:rPr>
                <w:lang w:eastAsia="en-GB"/>
              </w:rPr>
            </w:pPr>
          </w:p>
        </w:tc>
        <w:tc>
          <w:tcPr>
            <w:tcW w:w="3400" w:type="pct"/>
            <w:tcBorders>
              <w:top w:val="single" w:sz="4" w:space="0" w:color="auto"/>
              <w:left w:val="single" w:sz="4" w:space="0" w:color="auto"/>
              <w:bottom w:val="single" w:sz="4" w:space="0" w:color="auto"/>
              <w:right w:val="single" w:sz="4" w:space="0" w:color="auto"/>
            </w:tcBorders>
          </w:tcPr>
          <w:p w14:paraId="6367A267" w14:textId="77777777" w:rsidR="002D65EE" w:rsidRDefault="002D65EE">
            <w:pPr>
              <w:rPr>
                <w:lang w:eastAsia="en-GB"/>
              </w:rPr>
            </w:pPr>
            <w:r>
              <w:rPr>
                <w:lang w:eastAsia="en-GB"/>
              </w:rPr>
              <w:t>The direct benefits for the public stem from the potential for more personalised and effective breast cancer treatment strategies. If a reduction in mammographic density and/or texture is shown to be a reliable marker of AET effectiveness, it could help identify women for whom the treatment is working well. These patients might benefit from taking their endocrine therapy for a longer duration, potentially improving long-term outcomes. Identifying women whose dense tissue does not reduce, allows clinicians to consider switching patients to an alternative treatment. This personalised approach could lead to more targeted treatment, preventing ineffective therapy.</w:t>
            </w:r>
          </w:p>
          <w:p w14:paraId="19CE2A27" w14:textId="77777777" w:rsidR="002D65EE" w:rsidRDefault="002D65EE">
            <w:pPr>
              <w:spacing w:line="360" w:lineRule="auto"/>
              <w:rPr>
                <w:lang w:eastAsia="en-GB"/>
              </w:rPr>
            </w:pPr>
          </w:p>
        </w:tc>
      </w:tr>
      <w:tr w:rsidR="002D65EE" w14:paraId="60B33380" w14:textId="77777777" w:rsidTr="002D65EE">
        <w:trPr>
          <w:trHeight w:hRule="exact" w:val="710"/>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4203A4" w14:textId="77777777" w:rsidR="002D65EE" w:rsidRDefault="002D65EE">
            <w:pPr>
              <w:spacing w:after="200" w:line="276" w:lineRule="auto"/>
              <w:rPr>
                <w:lang w:eastAsia="en-GB"/>
              </w:rPr>
            </w:pPr>
            <w:r>
              <w:rPr>
                <w:lang w:eastAsia="en-GB"/>
              </w:rPr>
              <w:t>3</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924E8B" w14:textId="77777777" w:rsidR="002D65EE" w:rsidRDefault="002D65EE">
            <w:pPr>
              <w:spacing w:after="200" w:line="276" w:lineRule="auto"/>
              <w:ind w:left="20"/>
              <w:rPr>
                <w:b/>
                <w:lang w:eastAsia="en-GB"/>
              </w:rPr>
            </w:pPr>
            <w:r>
              <w:rPr>
                <w:b/>
                <w:lang w:eastAsia="en-GB"/>
              </w:rPr>
              <w:t xml:space="preserve">Data </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DC0B88" w14:textId="77777777" w:rsidR="002D65EE" w:rsidRDefault="002D65EE">
            <w:pPr>
              <w:spacing w:after="200" w:line="276" w:lineRule="auto"/>
              <w:ind w:left="360"/>
              <w:rPr>
                <w:lang w:eastAsia="en-GB"/>
              </w:rPr>
            </w:pPr>
          </w:p>
        </w:tc>
      </w:tr>
      <w:tr w:rsidR="002D65EE" w14:paraId="4AA32E47" w14:textId="77777777" w:rsidTr="002D65EE">
        <w:trPr>
          <w:trHeight w:hRule="exact" w:val="2120"/>
        </w:trPr>
        <w:tc>
          <w:tcPr>
            <w:tcW w:w="173" w:type="pct"/>
            <w:tcBorders>
              <w:top w:val="single" w:sz="4" w:space="0" w:color="auto"/>
              <w:left w:val="single" w:sz="4" w:space="0" w:color="auto"/>
              <w:bottom w:val="single" w:sz="4" w:space="0" w:color="auto"/>
              <w:right w:val="single" w:sz="4" w:space="0" w:color="auto"/>
            </w:tcBorders>
            <w:vAlign w:val="center"/>
          </w:tcPr>
          <w:p w14:paraId="55CBA032"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7FCD912D" w14:textId="77777777" w:rsidR="002D65EE" w:rsidRDefault="002D65EE">
            <w:pPr>
              <w:spacing w:after="200" w:line="276" w:lineRule="auto"/>
              <w:ind w:left="20"/>
              <w:rPr>
                <w:lang w:eastAsia="en-GB"/>
              </w:rPr>
            </w:pPr>
            <w:r>
              <w:rPr>
                <w:lang w:eastAsia="en-GB"/>
              </w:rPr>
              <w:t xml:space="preserve">What data were received/processed/collected? </w:t>
            </w:r>
          </w:p>
          <w:p w14:paraId="0C476496" w14:textId="77777777" w:rsidR="002D65EE" w:rsidRDefault="002D65EE">
            <w:pPr>
              <w:spacing w:after="200" w:line="276" w:lineRule="auto"/>
              <w:ind w:left="20"/>
              <w:rPr>
                <w:lang w:eastAsia="en-GB"/>
              </w:rPr>
            </w:pPr>
            <w:r>
              <w:rPr>
                <w:lang w:eastAsia="en-GB"/>
              </w:rPr>
              <w:t>Was it as expected? Please give brief details.</w:t>
            </w:r>
          </w:p>
        </w:tc>
        <w:tc>
          <w:tcPr>
            <w:tcW w:w="3400" w:type="pct"/>
            <w:tcBorders>
              <w:top w:val="single" w:sz="4" w:space="0" w:color="auto"/>
              <w:left w:val="single" w:sz="4" w:space="0" w:color="auto"/>
              <w:bottom w:val="single" w:sz="4" w:space="0" w:color="auto"/>
              <w:right w:val="single" w:sz="4" w:space="0" w:color="auto"/>
            </w:tcBorders>
            <w:vAlign w:val="center"/>
            <w:hideMark/>
          </w:tcPr>
          <w:p w14:paraId="29EA7E13" w14:textId="77777777" w:rsidR="002D65EE" w:rsidRDefault="002D65EE">
            <w:pPr>
              <w:rPr>
                <w:lang w:eastAsia="en-GB"/>
              </w:rPr>
            </w:pPr>
            <w:r>
              <w:rPr>
                <w:lang w:eastAsia="en-GB"/>
              </w:rPr>
              <w:t>Data collected included details of surgical pathology; duration and type of AET; weight and height; age at breast cancer diagnosis; menopausal status; race/ethnicity and clinical outcomes for follow up. Data on mammography equipment vendor was also collected for subgroup analysis.</w:t>
            </w:r>
          </w:p>
          <w:p w14:paraId="23F35F7E" w14:textId="77777777" w:rsidR="002D65EE" w:rsidRDefault="002D65EE">
            <w:pPr>
              <w:rPr>
                <w:lang w:eastAsia="en-GB"/>
              </w:rPr>
            </w:pPr>
            <w:r>
              <w:rPr>
                <w:lang w:eastAsia="en-GB"/>
              </w:rPr>
              <w:t>There were fewer events – breast cancer deaths, recurrences and new primaries than expected.</w:t>
            </w:r>
          </w:p>
        </w:tc>
      </w:tr>
      <w:tr w:rsidR="002D65EE" w14:paraId="72F7114D"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333AE6" w14:textId="77777777" w:rsidR="002D65EE" w:rsidRDefault="002D65EE">
            <w:pPr>
              <w:spacing w:after="200" w:line="276" w:lineRule="auto"/>
              <w:rPr>
                <w:lang w:eastAsia="en-GB"/>
              </w:rPr>
            </w:pPr>
            <w:r>
              <w:rPr>
                <w:lang w:eastAsia="en-GB"/>
              </w:rPr>
              <w:t>4</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772FA" w14:textId="77777777" w:rsidR="002D65EE" w:rsidRDefault="002D65EE">
            <w:pPr>
              <w:spacing w:after="200" w:line="276" w:lineRule="auto"/>
              <w:ind w:left="20"/>
              <w:rPr>
                <w:b/>
                <w:lang w:eastAsia="en-GB"/>
              </w:rPr>
            </w:pPr>
            <w:r>
              <w:rPr>
                <w:b/>
                <w:lang w:eastAsia="en-GB"/>
              </w:rPr>
              <w:t xml:space="preserve">Methodology </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B2D089" w14:textId="77777777" w:rsidR="002D65EE" w:rsidRDefault="002D65EE">
            <w:pPr>
              <w:spacing w:after="200" w:line="276" w:lineRule="auto"/>
              <w:ind w:left="360"/>
              <w:rPr>
                <w:lang w:eastAsia="en-GB"/>
              </w:rPr>
            </w:pPr>
          </w:p>
        </w:tc>
      </w:tr>
      <w:tr w:rsidR="002D65EE" w14:paraId="2AFC7E89" w14:textId="77777777" w:rsidTr="002D65EE">
        <w:trPr>
          <w:trHeight w:val="278"/>
        </w:trPr>
        <w:tc>
          <w:tcPr>
            <w:tcW w:w="173" w:type="pct"/>
            <w:vMerge w:val="restart"/>
            <w:tcBorders>
              <w:top w:val="single" w:sz="4" w:space="0" w:color="auto"/>
              <w:left w:val="single" w:sz="4" w:space="0" w:color="auto"/>
              <w:bottom w:val="single" w:sz="4" w:space="0" w:color="auto"/>
              <w:right w:val="single" w:sz="4" w:space="0" w:color="auto"/>
            </w:tcBorders>
            <w:vAlign w:val="center"/>
          </w:tcPr>
          <w:p w14:paraId="0B5FA8CB"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6FDB23EC" w14:textId="77777777" w:rsidR="002D65EE" w:rsidRDefault="002D65EE">
            <w:pPr>
              <w:spacing w:after="200" w:line="276" w:lineRule="auto"/>
              <w:ind w:left="20"/>
              <w:rPr>
                <w:lang w:eastAsia="en-GB"/>
              </w:rPr>
            </w:pPr>
            <w:r>
              <w:rPr>
                <w:lang w:eastAsia="en-GB"/>
              </w:rPr>
              <w:t>How did you collect the data?</w:t>
            </w:r>
          </w:p>
        </w:tc>
        <w:tc>
          <w:tcPr>
            <w:tcW w:w="3400" w:type="pct"/>
            <w:tcBorders>
              <w:top w:val="single" w:sz="4" w:space="0" w:color="auto"/>
              <w:left w:val="single" w:sz="4" w:space="0" w:color="auto"/>
              <w:bottom w:val="single" w:sz="4" w:space="0" w:color="auto"/>
              <w:right w:val="single" w:sz="4" w:space="0" w:color="auto"/>
            </w:tcBorders>
            <w:vAlign w:val="center"/>
          </w:tcPr>
          <w:p w14:paraId="44FE0D12" w14:textId="77777777" w:rsidR="002D65EE" w:rsidRDefault="002D65EE">
            <w:pPr>
              <w:rPr>
                <w:lang w:eastAsia="en-GB"/>
              </w:rPr>
            </w:pPr>
            <w:r>
              <w:rPr>
                <w:lang w:eastAsia="en-GB"/>
              </w:rPr>
              <w:t>De-identified mammographic images of the contralateral (normal) breast were retrieved from three time points: at diagnosis (baseline), one year post-surgery, and three years post-surgery. Mammographic density (MD) was measured on the untreated breast using a 0-100% Visual Analogue Scale (VAS) by one reader for all three time points for each patient, with images presented in random chronological order.</w:t>
            </w:r>
          </w:p>
          <w:p w14:paraId="61483A96" w14:textId="77777777" w:rsidR="002D65EE" w:rsidRDefault="002D65EE">
            <w:pPr>
              <w:spacing w:line="360" w:lineRule="auto"/>
              <w:rPr>
                <w:lang w:eastAsia="en-GB"/>
              </w:rPr>
            </w:pPr>
          </w:p>
        </w:tc>
      </w:tr>
      <w:tr w:rsidR="002D65EE" w14:paraId="7FF98879" w14:textId="77777777" w:rsidTr="002D65EE">
        <w:trPr>
          <w:trHeight w:hRule="exact" w:val="4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F12C8" w14:textId="77777777" w:rsidR="002D65EE" w:rsidRDefault="002D65EE">
            <w:pPr>
              <w:rPr>
                <w:rFonts w:ascii="Arial" w:eastAsia="Times New Roman" w:hAnsi="Arial" w:cs="Arial"/>
                <w:lang w:eastAsia="en-GB"/>
              </w:rPr>
            </w:pPr>
          </w:p>
        </w:tc>
        <w:tc>
          <w:tcPr>
            <w:tcW w:w="1427" w:type="pct"/>
            <w:tcBorders>
              <w:top w:val="single" w:sz="4" w:space="0" w:color="auto"/>
              <w:left w:val="single" w:sz="4" w:space="0" w:color="auto"/>
              <w:bottom w:val="single" w:sz="4" w:space="0" w:color="auto"/>
              <w:right w:val="single" w:sz="4" w:space="0" w:color="auto"/>
            </w:tcBorders>
            <w:vAlign w:val="center"/>
          </w:tcPr>
          <w:p w14:paraId="12D0414D" w14:textId="77777777" w:rsidR="002D65EE" w:rsidRDefault="002D65EE">
            <w:pPr>
              <w:spacing w:after="200" w:line="276" w:lineRule="auto"/>
              <w:ind w:left="20"/>
              <w:rPr>
                <w:lang w:eastAsia="en-GB"/>
              </w:rPr>
            </w:pPr>
            <w:r>
              <w:rPr>
                <w:lang w:eastAsia="en-GB"/>
              </w:rPr>
              <w:t xml:space="preserve">How did you process the data? </w:t>
            </w:r>
          </w:p>
          <w:p w14:paraId="5A65D4C1" w14:textId="77777777" w:rsidR="002D65EE" w:rsidRDefault="002D65EE">
            <w:pPr>
              <w:spacing w:after="200" w:line="276" w:lineRule="auto"/>
              <w:ind w:left="20"/>
              <w:rPr>
                <w:lang w:eastAsia="en-GB"/>
              </w:rPr>
            </w:pPr>
          </w:p>
        </w:tc>
        <w:tc>
          <w:tcPr>
            <w:tcW w:w="3400" w:type="pct"/>
            <w:tcBorders>
              <w:top w:val="single" w:sz="4" w:space="0" w:color="auto"/>
              <w:left w:val="single" w:sz="4" w:space="0" w:color="auto"/>
              <w:bottom w:val="single" w:sz="4" w:space="0" w:color="auto"/>
              <w:right w:val="single" w:sz="4" w:space="0" w:color="auto"/>
            </w:tcBorders>
            <w:vAlign w:val="center"/>
            <w:hideMark/>
          </w:tcPr>
          <w:p w14:paraId="0F9FC948" w14:textId="77777777" w:rsidR="002D65EE" w:rsidRDefault="002D65EE">
            <w:pPr>
              <w:spacing w:after="200" w:line="276" w:lineRule="auto"/>
              <w:ind w:left="20"/>
              <w:rPr>
                <w:lang w:eastAsia="en-GB"/>
              </w:rPr>
            </w:pPr>
            <w:r>
              <w:rPr>
                <w:lang w:eastAsia="en-GB"/>
              </w:rPr>
              <w:t>A second reader, who had not previously measured MD for the given patient, was presented with pairs of images (baseline vs. 1 year and baseline vs. 3 years) to assess whether the MD had decreased, increased, or stayed the same2. The degree of certainty was recorded on a five-point Likert scale. Percentage change in MD was calculated from diagnosis to each follow-up. A 10% (or more) reduction in MD since diagnosis was defined as a reduction based on the VAS scale. The category "definitely decreased" was used to define a reduction in the reader-assessed change in MD. Inter- and intra-reader variability in MD assessment was estimated using intra-class correlation coefficients from an initial batch of 50 patients (150 mammograms), reviewed by eleven readers for inter-reader variability and four readers for intra-reader variability. A training document was compiled for the readers. An artificial intelligence algorithm was trained to predict the Visual Assessment scores on the processed mammograms.</w:t>
            </w:r>
          </w:p>
        </w:tc>
      </w:tr>
      <w:tr w:rsidR="002D65EE" w14:paraId="58D8C1BC" w14:textId="77777777" w:rsidTr="002D65EE">
        <w:trPr>
          <w:trHeight w:hRule="exac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58870" w14:textId="77777777" w:rsidR="002D65EE" w:rsidRDefault="002D65EE">
            <w:pPr>
              <w:rPr>
                <w:rFonts w:ascii="Arial" w:eastAsia="Times New Roman" w:hAnsi="Arial" w:cs="Arial"/>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407FFB8B" w14:textId="77777777" w:rsidR="002D65EE" w:rsidRDefault="002D65EE">
            <w:pPr>
              <w:spacing w:after="200" w:line="276" w:lineRule="auto"/>
              <w:ind w:left="20"/>
              <w:rPr>
                <w:lang w:eastAsia="en-GB"/>
              </w:rPr>
            </w:pPr>
            <w:r>
              <w:rPr>
                <w:lang w:eastAsia="en-GB"/>
              </w:rPr>
              <w:t>How did you provision/publish the information?</w:t>
            </w:r>
          </w:p>
        </w:tc>
        <w:tc>
          <w:tcPr>
            <w:tcW w:w="3400" w:type="pct"/>
            <w:tcBorders>
              <w:top w:val="single" w:sz="4" w:space="0" w:color="auto"/>
              <w:left w:val="single" w:sz="4" w:space="0" w:color="auto"/>
              <w:bottom w:val="single" w:sz="4" w:space="0" w:color="auto"/>
              <w:right w:val="single" w:sz="4" w:space="0" w:color="auto"/>
            </w:tcBorders>
            <w:vAlign w:val="center"/>
            <w:hideMark/>
          </w:tcPr>
          <w:p w14:paraId="08E1C895" w14:textId="77777777" w:rsidR="002D65EE" w:rsidRDefault="002D65EE">
            <w:pPr>
              <w:rPr>
                <w:lang w:eastAsia="en-GB"/>
              </w:rPr>
            </w:pPr>
            <w:r>
              <w:rPr>
                <w:lang w:eastAsia="en-GB"/>
              </w:rPr>
              <w:t>The manuscript is currently under review for submission to the Breast Cancer Research journal.</w:t>
            </w:r>
          </w:p>
        </w:tc>
      </w:tr>
      <w:tr w:rsidR="002D65EE" w14:paraId="65F19AEF" w14:textId="77777777" w:rsidTr="002D65E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D3FB0" w14:textId="77777777" w:rsidR="002D65EE" w:rsidRDefault="002D65EE">
            <w:pPr>
              <w:rPr>
                <w:rFonts w:ascii="Arial" w:eastAsia="Times New Roman" w:hAnsi="Arial" w:cs="Arial"/>
                <w:lang w:eastAsia="en-GB"/>
              </w:rPr>
            </w:pPr>
          </w:p>
        </w:tc>
        <w:tc>
          <w:tcPr>
            <w:tcW w:w="1427" w:type="pct"/>
            <w:tcBorders>
              <w:top w:val="single" w:sz="4" w:space="0" w:color="auto"/>
              <w:left w:val="single" w:sz="4" w:space="0" w:color="auto"/>
              <w:bottom w:val="single" w:sz="4" w:space="0" w:color="auto"/>
              <w:right w:val="single" w:sz="4" w:space="0" w:color="auto"/>
            </w:tcBorders>
            <w:vAlign w:val="center"/>
          </w:tcPr>
          <w:p w14:paraId="5BD0F61D" w14:textId="77777777" w:rsidR="002D65EE" w:rsidRDefault="002D65EE">
            <w:pPr>
              <w:spacing w:after="200" w:line="276" w:lineRule="auto"/>
              <w:ind w:left="20"/>
              <w:rPr>
                <w:lang w:eastAsia="en-GB"/>
              </w:rPr>
            </w:pPr>
            <w:r>
              <w:rPr>
                <w:lang w:eastAsia="en-GB"/>
              </w:rPr>
              <w:t>Did your study scope change from its original aims? Please give brief details.</w:t>
            </w:r>
          </w:p>
          <w:p w14:paraId="7A7E92B2" w14:textId="77777777" w:rsidR="002D65EE" w:rsidRDefault="002D65EE">
            <w:pPr>
              <w:spacing w:after="200" w:line="276" w:lineRule="auto"/>
              <w:ind w:left="20"/>
              <w:rPr>
                <w:lang w:eastAsia="en-GB"/>
              </w:rPr>
            </w:pPr>
          </w:p>
        </w:tc>
        <w:tc>
          <w:tcPr>
            <w:tcW w:w="3400" w:type="pct"/>
            <w:tcBorders>
              <w:top w:val="single" w:sz="4" w:space="0" w:color="auto"/>
              <w:left w:val="single" w:sz="4" w:space="0" w:color="auto"/>
              <w:bottom w:val="single" w:sz="4" w:space="0" w:color="auto"/>
              <w:right w:val="single" w:sz="4" w:space="0" w:color="auto"/>
            </w:tcBorders>
            <w:vAlign w:val="center"/>
            <w:hideMark/>
          </w:tcPr>
          <w:p w14:paraId="64CEA089" w14:textId="77777777" w:rsidR="002D65EE" w:rsidRDefault="002D65EE">
            <w:pPr>
              <w:spacing w:line="360" w:lineRule="auto"/>
              <w:rPr>
                <w:lang w:eastAsia="en-GB"/>
              </w:rPr>
            </w:pPr>
            <w:r>
              <w:rPr>
                <w:lang w:eastAsia="en-GB"/>
              </w:rPr>
              <w:t>No</w:t>
            </w:r>
          </w:p>
        </w:tc>
      </w:tr>
      <w:tr w:rsidR="002D65EE" w14:paraId="67814946"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D1A3A3" w14:textId="77777777" w:rsidR="002D65EE" w:rsidRDefault="002D65EE">
            <w:pPr>
              <w:spacing w:after="200" w:line="276" w:lineRule="auto"/>
              <w:rPr>
                <w:lang w:eastAsia="en-GB"/>
              </w:rPr>
            </w:pPr>
            <w:r>
              <w:rPr>
                <w:lang w:eastAsia="en-GB"/>
              </w:rPr>
              <w:t>5</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7F4B68" w14:textId="77777777" w:rsidR="002D65EE" w:rsidRDefault="002D65EE">
            <w:pPr>
              <w:spacing w:after="200" w:line="276" w:lineRule="auto"/>
              <w:ind w:left="20"/>
              <w:rPr>
                <w:b/>
                <w:lang w:eastAsia="en-GB"/>
              </w:rPr>
            </w:pPr>
            <w:r>
              <w:rPr>
                <w:b/>
                <w:lang w:eastAsia="en-GB"/>
              </w:rPr>
              <w:t xml:space="preserve">Outcomes: </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7C882E" w14:textId="77777777" w:rsidR="002D65EE" w:rsidRDefault="002D65EE">
            <w:pPr>
              <w:spacing w:after="200" w:line="276" w:lineRule="auto"/>
              <w:ind w:left="360"/>
              <w:rPr>
                <w:lang w:eastAsia="en-GB"/>
              </w:rPr>
            </w:pPr>
          </w:p>
        </w:tc>
      </w:tr>
      <w:tr w:rsidR="002D65EE" w14:paraId="4011C6B5" w14:textId="77777777" w:rsidTr="002D65EE">
        <w:trPr>
          <w:trHeight w:val="4069"/>
        </w:trPr>
        <w:tc>
          <w:tcPr>
            <w:tcW w:w="173" w:type="pct"/>
            <w:tcBorders>
              <w:top w:val="single" w:sz="4" w:space="0" w:color="auto"/>
              <w:left w:val="single" w:sz="4" w:space="0" w:color="auto"/>
              <w:bottom w:val="single" w:sz="4" w:space="0" w:color="auto"/>
              <w:right w:val="single" w:sz="4" w:space="0" w:color="auto"/>
            </w:tcBorders>
            <w:vAlign w:val="center"/>
          </w:tcPr>
          <w:p w14:paraId="65E4E70E"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1981021E" w14:textId="77777777" w:rsidR="002D65EE" w:rsidRDefault="002D65EE">
            <w:pPr>
              <w:spacing w:after="200" w:line="276" w:lineRule="auto"/>
              <w:ind w:left="20"/>
              <w:rPr>
                <w:lang w:eastAsia="en-GB"/>
              </w:rPr>
            </w:pPr>
            <w:r>
              <w:rPr>
                <w:lang w:eastAsia="en-GB"/>
              </w:rPr>
              <w:t>The outcomes / results of your proposal. Please give brief details.</w:t>
            </w:r>
          </w:p>
        </w:tc>
        <w:tc>
          <w:tcPr>
            <w:tcW w:w="3400" w:type="pct"/>
            <w:tcBorders>
              <w:top w:val="single" w:sz="4" w:space="0" w:color="auto"/>
              <w:left w:val="single" w:sz="4" w:space="0" w:color="auto"/>
              <w:bottom w:val="single" w:sz="4" w:space="0" w:color="auto"/>
              <w:right w:val="single" w:sz="4" w:space="0" w:color="auto"/>
            </w:tcBorders>
            <w:vAlign w:val="center"/>
          </w:tcPr>
          <w:p w14:paraId="053B004F" w14:textId="77777777" w:rsidR="002D65EE" w:rsidRDefault="002D65EE">
            <w:pPr>
              <w:rPr>
                <w:lang w:eastAsia="en-GB"/>
              </w:rPr>
            </w:pPr>
            <w:r>
              <w:rPr>
                <w:lang w:eastAsia="en-GB"/>
              </w:rPr>
              <w:t>Main results:</w:t>
            </w:r>
          </w:p>
          <w:p w14:paraId="43878E25"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Measuring mammographic density using a visual scale was consistent and reliable among different radiologists, even when the same radiologist looked at images again.</w:t>
            </w:r>
          </w:p>
          <w:p w14:paraId="42650B2A"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Unlike some other studies, only a small percentage (around 20-21%) of women in the AET group showed a significant reduction (10% or more) in their breast density after 1 or 3 years of treatment. This was not significantly different from the control group (who did not take AET), suggesting that AET itself had limited impact on MD in this specific group of patients.</w:t>
            </w:r>
          </w:p>
          <w:p w14:paraId="396A2F69"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The main finding was that a reduction in breast density did not significantly predict a lower risk of breast cancer coming back, spreading (metastasis), or causing death. Whether a woman's breast density went down or not, it did not appear to impact her survival chances from breast cancer in this study.</w:t>
            </w:r>
          </w:p>
          <w:p w14:paraId="39A9B13A" w14:textId="77777777" w:rsidR="002D65EE" w:rsidRDefault="002D65EE" w:rsidP="002D65EE">
            <w:pPr>
              <w:pStyle w:val="ListParagraph"/>
              <w:numPr>
                <w:ilvl w:val="0"/>
                <w:numId w:val="30"/>
              </w:numPr>
              <w:tabs>
                <w:tab w:val="left" w:pos="1440"/>
                <w:tab w:val="left" w:pos="2160"/>
                <w:tab w:val="left" w:pos="2880"/>
                <w:tab w:val="left" w:pos="4680"/>
                <w:tab w:val="left" w:pos="5400"/>
                <w:tab w:val="right" w:pos="9000"/>
              </w:tabs>
              <w:ind w:hanging="585"/>
              <w:jc w:val="both"/>
              <w:rPr>
                <w:lang w:eastAsia="en-GB"/>
              </w:rPr>
            </w:pPr>
            <w:r>
              <w:rPr>
                <w:lang w:eastAsia="en-GB"/>
              </w:rPr>
              <w:t>Percent density predicted using AI was consistent with reader scores.</w:t>
            </w:r>
          </w:p>
          <w:p w14:paraId="3E00CEFE" w14:textId="77777777" w:rsidR="002D65EE" w:rsidRDefault="002D65EE">
            <w:pPr>
              <w:pStyle w:val="ListParagraph"/>
              <w:rPr>
                <w:lang w:eastAsia="en-GB"/>
              </w:rPr>
            </w:pPr>
          </w:p>
        </w:tc>
      </w:tr>
      <w:tr w:rsidR="002D65EE" w14:paraId="2487D9D9" w14:textId="77777777" w:rsidTr="002D65EE">
        <w:trPr>
          <w:trHeight w:hRule="exact" w:val="567"/>
        </w:trPr>
        <w:tc>
          <w:tcPr>
            <w:tcW w:w="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00DED5" w14:textId="77777777" w:rsidR="002D65EE" w:rsidRDefault="002D65EE">
            <w:pPr>
              <w:spacing w:after="200" w:line="276" w:lineRule="auto"/>
              <w:rPr>
                <w:lang w:eastAsia="en-GB"/>
              </w:rPr>
            </w:pPr>
            <w:r>
              <w:rPr>
                <w:lang w:eastAsia="en-GB"/>
              </w:rPr>
              <w:t>6</w:t>
            </w:r>
          </w:p>
        </w:tc>
        <w:tc>
          <w:tcPr>
            <w:tcW w:w="14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713306" w14:textId="77777777" w:rsidR="002D65EE" w:rsidRDefault="002D65EE">
            <w:pPr>
              <w:spacing w:after="200" w:line="276" w:lineRule="auto"/>
              <w:ind w:left="20"/>
              <w:rPr>
                <w:b/>
                <w:lang w:eastAsia="en-GB"/>
              </w:rPr>
            </w:pPr>
            <w:r>
              <w:rPr>
                <w:b/>
                <w:lang w:eastAsia="en-GB"/>
              </w:rPr>
              <w:t>Future Questions:</w:t>
            </w:r>
          </w:p>
        </w:tc>
        <w:tc>
          <w:tcPr>
            <w:tcW w:w="34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BF3602" w14:textId="77777777" w:rsidR="002D65EE" w:rsidRDefault="002D65EE">
            <w:pPr>
              <w:spacing w:after="200" w:line="276" w:lineRule="auto"/>
              <w:ind w:left="360"/>
              <w:rPr>
                <w:lang w:eastAsia="en-GB"/>
              </w:rPr>
            </w:pPr>
          </w:p>
        </w:tc>
      </w:tr>
      <w:tr w:rsidR="002D65EE" w14:paraId="2067A4AD" w14:textId="77777777" w:rsidTr="002D65EE">
        <w:trPr>
          <w:trHeight w:val="1342"/>
        </w:trPr>
        <w:tc>
          <w:tcPr>
            <w:tcW w:w="173" w:type="pct"/>
            <w:tcBorders>
              <w:top w:val="single" w:sz="4" w:space="0" w:color="auto"/>
              <w:left w:val="single" w:sz="4" w:space="0" w:color="auto"/>
              <w:bottom w:val="single" w:sz="4" w:space="0" w:color="auto"/>
              <w:right w:val="single" w:sz="4" w:space="0" w:color="auto"/>
            </w:tcBorders>
            <w:vAlign w:val="center"/>
          </w:tcPr>
          <w:p w14:paraId="0ABD1B9F" w14:textId="77777777" w:rsidR="002D65EE" w:rsidRDefault="002D65EE">
            <w:pPr>
              <w:spacing w:after="200" w:line="276" w:lineRule="auto"/>
              <w:rPr>
                <w:lang w:eastAsia="en-GB"/>
              </w:rPr>
            </w:pPr>
          </w:p>
        </w:tc>
        <w:tc>
          <w:tcPr>
            <w:tcW w:w="1427" w:type="pct"/>
            <w:tcBorders>
              <w:top w:val="single" w:sz="4" w:space="0" w:color="auto"/>
              <w:left w:val="single" w:sz="4" w:space="0" w:color="auto"/>
              <w:bottom w:val="single" w:sz="4" w:space="0" w:color="auto"/>
              <w:right w:val="single" w:sz="4" w:space="0" w:color="auto"/>
            </w:tcBorders>
            <w:vAlign w:val="center"/>
            <w:hideMark/>
          </w:tcPr>
          <w:p w14:paraId="13D968AC" w14:textId="77777777" w:rsidR="002D65EE" w:rsidRDefault="002D65EE">
            <w:pPr>
              <w:spacing w:after="200" w:line="276" w:lineRule="auto"/>
              <w:ind w:left="20"/>
              <w:rPr>
                <w:lang w:eastAsia="en-GB"/>
              </w:rPr>
            </w:pPr>
            <w:r>
              <w:rPr>
                <w:lang w:eastAsia="en-GB"/>
              </w:rPr>
              <w:t>Have the processes / results raised further questions for future exploration? Please give brief details.</w:t>
            </w:r>
          </w:p>
        </w:tc>
        <w:tc>
          <w:tcPr>
            <w:tcW w:w="3400" w:type="pct"/>
            <w:tcBorders>
              <w:top w:val="single" w:sz="4" w:space="0" w:color="auto"/>
              <w:left w:val="single" w:sz="4" w:space="0" w:color="auto"/>
              <w:bottom w:val="single" w:sz="4" w:space="0" w:color="auto"/>
              <w:right w:val="single" w:sz="4" w:space="0" w:color="auto"/>
            </w:tcBorders>
            <w:vAlign w:val="center"/>
          </w:tcPr>
          <w:p w14:paraId="16915405" w14:textId="77777777" w:rsidR="002D65EE" w:rsidRDefault="002D65EE">
            <w:pPr>
              <w:rPr>
                <w:lang w:eastAsia="en-GB"/>
              </w:rPr>
            </w:pPr>
            <w:r>
              <w:rPr>
                <w:lang w:eastAsia="en-GB"/>
              </w:rPr>
              <w:t>For women over 50 (and/or post-menopausal) treated with AET but not chemotherapy, changes in mammographic density do not appear to be a useful indicator of how well they will do or if their cancer will return. This is likely related to low baseline MD, indolent disease and low event rate. This finding is not only important for clinical practice, but should also be taken into consideration when MD is used as a surrogate outcome measure in clinical trials.</w:t>
            </w:r>
          </w:p>
          <w:p w14:paraId="60510CDF" w14:textId="77777777" w:rsidR="002D65EE" w:rsidRDefault="002D65EE">
            <w:pPr>
              <w:rPr>
                <w:lang w:eastAsia="en-GB"/>
              </w:rPr>
            </w:pPr>
          </w:p>
        </w:tc>
      </w:tr>
    </w:tbl>
    <w:p w14:paraId="629110FE" w14:textId="77777777" w:rsidR="00AC002E" w:rsidRDefault="00AC002E" w:rsidP="00AC002E">
      <w:pPr>
        <w:pStyle w:val="Heading2"/>
      </w:pPr>
    </w:p>
    <w:p w14:paraId="7BF2AECF" w14:textId="77777777" w:rsidR="00AC002E" w:rsidRDefault="00AC002E" w:rsidP="00AC002E">
      <w:pPr>
        <w:pStyle w:val="Heading2"/>
      </w:pPr>
    </w:p>
    <w:p w14:paraId="2B002F66" w14:textId="7245D469" w:rsidR="007B7F65" w:rsidRDefault="007B7F65" w:rsidP="00AC002E">
      <w:pPr>
        <w:pStyle w:val="Heading2"/>
      </w:pPr>
      <w:bookmarkStart w:id="24" w:name="_1920-0071_Professor_Philip"/>
      <w:bookmarkEnd w:id="24"/>
      <w:r w:rsidRPr="007B7F65">
        <w:t>1920-0071</w:t>
      </w:r>
      <w:r w:rsidRPr="007B7F65">
        <w:tab/>
        <w:t>Professor Philip Rowe</w:t>
      </w:r>
    </w:p>
    <w:p w14:paraId="78A110E4" w14:textId="7A3B5FCC" w:rsidR="007B7F65" w:rsidRDefault="00341112" w:rsidP="00AC002E">
      <w:pPr>
        <w:spacing w:line="240" w:lineRule="auto"/>
        <w:ind w:left="-851" w:firstLine="851"/>
        <w:rPr>
          <w:b/>
          <w:sz w:val="24"/>
          <w:szCs w:val="24"/>
        </w:rPr>
      </w:pPr>
      <w:r w:rsidRPr="00341112">
        <w:rPr>
          <w:b/>
          <w:sz w:val="24"/>
          <w:szCs w:val="24"/>
        </w:rPr>
        <w:t>Robotic Knee Arthroplasty</w:t>
      </w:r>
    </w:p>
    <w:p w14:paraId="1C7CAEB1" w14:textId="77777777" w:rsidR="004B03D7" w:rsidRDefault="004B03D7" w:rsidP="00AC002E">
      <w:pPr>
        <w:spacing w:line="240" w:lineRule="auto"/>
        <w:rPr>
          <w:b/>
          <w:sz w:val="32"/>
        </w:rPr>
      </w:pPr>
      <w:r>
        <w:rPr>
          <w:b/>
          <w:sz w:val="32"/>
        </w:rPr>
        <w:t>The Public Benefit Impact Summary</w:t>
      </w:r>
    </w:p>
    <w:p w14:paraId="76467492" w14:textId="77777777" w:rsidR="004B03D7" w:rsidRDefault="004B03D7" w:rsidP="004B03D7">
      <w:pPr>
        <w:rPr>
          <w:b/>
        </w:rPr>
      </w:pPr>
    </w:p>
    <w:tbl>
      <w:tblPr>
        <w:tblStyle w:val="TableGrid"/>
        <w:tblW w:w="5000" w:type="pct"/>
        <w:tblLook w:val="04A0" w:firstRow="1" w:lastRow="0" w:firstColumn="1" w:lastColumn="0" w:noHBand="0" w:noVBand="1"/>
      </w:tblPr>
      <w:tblGrid>
        <w:gridCol w:w="339"/>
        <w:gridCol w:w="3359"/>
        <w:gridCol w:w="5318"/>
      </w:tblGrid>
      <w:tr w:rsidR="004B03D7" w14:paraId="0FF14C90"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F2EEB1" w14:textId="77777777" w:rsidR="004B03D7" w:rsidRDefault="004B03D7">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BB447" w14:textId="77777777" w:rsidR="004B03D7" w:rsidRDefault="004B03D7">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FFAF34" w14:textId="77777777" w:rsidR="004B03D7" w:rsidRDefault="004B03D7">
            <w:pPr>
              <w:spacing w:after="200" w:line="276" w:lineRule="auto"/>
              <w:ind w:left="360"/>
              <w:rPr>
                <w:lang w:eastAsia="en-GB"/>
              </w:rPr>
            </w:pPr>
          </w:p>
        </w:tc>
      </w:tr>
      <w:tr w:rsidR="004B03D7" w14:paraId="4664405B" w14:textId="77777777">
        <w:trPr>
          <w:trHeight w:hRule="exact" w:val="1601"/>
        </w:trPr>
        <w:tc>
          <w:tcPr>
            <w:tcW w:w="188" w:type="pct"/>
            <w:tcBorders>
              <w:top w:val="single" w:sz="4" w:space="0" w:color="auto"/>
              <w:left w:val="single" w:sz="4" w:space="0" w:color="auto"/>
              <w:bottom w:val="single" w:sz="4" w:space="0" w:color="auto"/>
              <w:right w:val="single" w:sz="4" w:space="0" w:color="auto"/>
            </w:tcBorders>
            <w:vAlign w:val="center"/>
          </w:tcPr>
          <w:p w14:paraId="3712EEBB"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5D3B2C" w14:textId="77777777" w:rsidR="004B03D7" w:rsidRDefault="004B03D7">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4FB3EC83" w14:textId="77777777" w:rsidR="004B03D7" w:rsidRDefault="004B03D7">
            <w:pPr>
              <w:spacing w:line="360" w:lineRule="auto"/>
              <w:rPr>
                <w:lang w:eastAsia="en-GB"/>
              </w:rPr>
            </w:pPr>
            <w:r>
              <w:rPr>
                <w:lang w:eastAsia="en-GB"/>
              </w:rPr>
              <w:t>To determine the downstream healthcare costs for the participants of our Two World Leading RCTs of robotic knee surgery compared to conventional knee surgery</w:t>
            </w:r>
          </w:p>
          <w:p w14:paraId="44853C39" w14:textId="77777777" w:rsidR="004B03D7" w:rsidRDefault="004B03D7">
            <w:pPr>
              <w:spacing w:line="360" w:lineRule="auto"/>
              <w:rPr>
                <w:lang w:eastAsia="en-GB"/>
              </w:rPr>
            </w:pPr>
          </w:p>
        </w:tc>
      </w:tr>
      <w:tr w:rsidR="004B03D7" w14:paraId="467A6D0E"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05C13F" w14:textId="77777777" w:rsidR="004B03D7" w:rsidRDefault="004B03D7">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D34DB9" w14:textId="77777777" w:rsidR="004B03D7" w:rsidRDefault="004B03D7">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59A91E" w14:textId="77777777" w:rsidR="004B03D7" w:rsidRDefault="004B03D7">
            <w:pPr>
              <w:spacing w:after="200" w:line="276" w:lineRule="auto"/>
              <w:ind w:left="360"/>
              <w:rPr>
                <w:lang w:eastAsia="en-GB"/>
              </w:rPr>
            </w:pPr>
          </w:p>
          <w:p w14:paraId="55B9C7ED" w14:textId="77777777" w:rsidR="004B03D7" w:rsidRDefault="004B03D7">
            <w:pPr>
              <w:spacing w:after="200" w:line="276" w:lineRule="auto"/>
              <w:rPr>
                <w:lang w:eastAsia="en-GB"/>
              </w:rPr>
            </w:pPr>
          </w:p>
          <w:p w14:paraId="5337BBBE" w14:textId="77777777" w:rsidR="004B03D7" w:rsidRDefault="004B03D7">
            <w:pPr>
              <w:spacing w:after="200" w:line="276" w:lineRule="auto"/>
              <w:rPr>
                <w:lang w:eastAsia="en-GB"/>
              </w:rPr>
            </w:pPr>
          </w:p>
          <w:p w14:paraId="1C2A5067" w14:textId="77777777" w:rsidR="004B03D7" w:rsidRDefault="004B03D7">
            <w:pPr>
              <w:spacing w:after="200" w:line="276" w:lineRule="auto"/>
              <w:rPr>
                <w:lang w:eastAsia="en-GB"/>
              </w:rPr>
            </w:pPr>
          </w:p>
          <w:p w14:paraId="1E5B33DF" w14:textId="77777777" w:rsidR="004B03D7" w:rsidRDefault="004B03D7">
            <w:pPr>
              <w:spacing w:after="200" w:line="276" w:lineRule="auto"/>
              <w:rPr>
                <w:lang w:eastAsia="en-GB"/>
              </w:rPr>
            </w:pPr>
          </w:p>
          <w:p w14:paraId="2BE1AB2F" w14:textId="77777777" w:rsidR="004B03D7" w:rsidRDefault="004B03D7">
            <w:pPr>
              <w:spacing w:after="200" w:line="276" w:lineRule="auto"/>
              <w:rPr>
                <w:lang w:eastAsia="en-GB"/>
              </w:rPr>
            </w:pPr>
          </w:p>
          <w:p w14:paraId="0B70F442" w14:textId="77777777" w:rsidR="004B03D7" w:rsidRDefault="004B03D7">
            <w:pPr>
              <w:spacing w:after="200" w:line="276" w:lineRule="auto"/>
              <w:rPr>
                <w:lang w:eastAsia="en-GB"/>
              </w:rPr>
            </w:pPr>
          </w:p>
          <w:p w14:paraId="075734B6" w14:textId="77777777" w:rsidR="004B03D7" w:rsidRDefault="004B03D7">
            <w:pPr>
              <w:spacing w:after="200" w:line="276" w:lineRule="auto"/>
              <w:rPr>
                <w:lang w:eastAsia="en-GB"/>
              </w:rPr>
            </w:pPr>
          </w:p>
          <w:p w14:paraId="378DEE74" w14:textId="77777777" w:rsidR="004B03D7" w:rsidRDefault="004B03D7">
            <w:pPr>
              <w:spacing w:after="200" w:line="276" w:lineRule="auto"/>
              <w:rPr>
                <w:lang w:eastAsia="en-GB"/>
              </w:rPr>
            </w:pPr>
          </w:p>
          <w:p w14:paraId="5B01A4CA" w14:textId="77777777" w:rsidR="004B03D7" w:rsidRDefault="004B03D7">
            <w:pPr>
              <w:spacing w:after="200" w:line="276" w:lineRule="auto"/>
              <w:rPr>
                <w:lang w:eastAsia="en-GB"/>
              </w:rPr>
            </w:pPr>
          </w:p>
          <w:p w14:paraId="691BD29D" w14:textId="77777777" w:rsidR="004B03D7" w:rsidRDefault="004B03D7">
            <w:pPr>
              <w:spacing w:after="200" w:line="276" w:lineRule="auto"/>
              <w:rPr>
                <w:lang w:eastAsia="en-GB"/>
              </w:rPr>
            </w:pPr>
          </w:p>
          <w:p w14:paraId="6B6BCD30" w14:textId="77777777" w:rsidR="004B03D7" w:rsidRDefault="004B03D7">
            <w:pPr>
              <w:spacing w:after="200" w:line="276" w:lineRule="auto"/>
              <w:rPr>
                <w:lang w:eastAsia="en-GB"/>
              </w:rPr>
            </w:pPr>
          </w:p>
          <w:p w14:paraId="21ABA9D1" w14:textId="77777777" w:rsidR="004B03D7" w:rsidRDefault="004B03D7">
            <w:pPr>
              <w:spacing w:after="200" w:line="276" w:lineRule="auto"/>
              <w:rPr>
                <w:lang w:eastAsia="en-GB"/>
              </w:rPr>
            </w:pPr>
          </w:p>
          <w:p w14:paraId="519E88AC" w14:textId="77777777" w:rsidR="004B03D7" w:rsidRDefault="004B03D7">
            <w:pPr>
              <w:spacing w:after="200" w:line="276" w:lineRule="auto"/>
              <w:rPr>
                <w:lang w:eastAsia="en-GB"/>
              </w:rPr>
            </w:pPr>
          </w:p>
          <w:p w14:paraId="49EE0ED8" w14:textId="77777777" w:rsidR="004B03D7" w:rsidRDefault="004B03D7">
            <w:pPr>
              <w:spacing w:after="200" w:line="276" w:lineRule="auto"/>
              <w:rPr>
                <w:lang w:eastAsia="en-GB"/>
              </w:rPr>
            </w:pPr>
          </w:p>
          <w:p w14:paraId="4CBC3E93" w14:textId="77777777" w:rsidR="004B03D7" w:rsidRDefault="004B03D7">
            <w:pPr>
              <w:spacing w:after="200" w:line="276" w:lineRule="auto"/>
              <w:rPr>
                <w:lang w:eastAsia="en-GB"/>
              </w:rPr>
            </w:pPr>
          </w:p>
          <w:p w14:paraId="6CB95987" w14:textId="77777777" w:rsidR="004B03D7" w:rsidRDefault="004B03D7">
            <w:pPr>
              <w:spacing w:after="200" w:line="276" w:lineRule="auto"/>
              <w:rPr>
                <w:lang w:eastAsia="en-GB"/>
              </w:rPr>
            </w:pPr>
          </w:p>
          <w:p w14:paraId="1DAC7EDD" w14:textId="77777777" w:rsidR="004B03D7" w:rsidRDefault="004B03D7">
            <w:pPr>
              <w:spacing w:after="200" w:line="276" w:lineRule="auto"/>
              <w:rPr>
                <w:lang w:eastAsia="en-GB"/>
              </w:rPr>
            </w:pPr>
          </w:p>
          <w:p w14:paraId="7D8BB0A2" w14:textId="77777777" w:rsidR="004B03D7" w:rsidRDefault="004B03D7">
            <w:pPr>
              <w:spacing w:after="200" w:line="276" w:lineRule="auto"/>
              <w:rPr>
                <w:lang w:eastAsia="en-GB"/>
              </w:rPr>
            </w:pPr>
          </w:p>
          <w:p w14:paraId="73043A93" w14:textId="77777777" w:rsidR="004B03D7" w:rsidRDefault="004B03D7">
            <w:pPr>
              <w:spacing w:after="200" w:line="276" w:lineRule="auto"/>
              <w:rPr>
                <w:lang w:eastAsia="en-GB"/>
              </w:rPr>
            </w:pPr>
          </w:p>
          <w:p w14:paraId="0447FFD5" w14:textId="77777777" w:rsidR="004B03D7" w:rsidRDefault="004B03D7">
            <w:pPr>
              <w:spacing w:after="200" w:line="276" w:lineRule="auto"/>
              <w:rPr>
                <w:lang w:eastAsia="en-GB"/>
              </w:rPr>
            </w:pPr>
          </w:p>
          <w:p w14:paraId="592E4D8B" w14:textId="77777777" w:rsidR="004B03D7" w:rsidRDefault="004B03D7">
            <w:pPr>
              <w:spacing w:after="200" w:line="276" w:lineRule="auto"/>
              <w:rPr>
                <w:lang w:eastAsia="en-GB"/>
              </w:rPr>
            </w:pPr>
          </w:p>
          <w:p w14:paraId="6061AC0E" w14:textId="77777777" w:rsidR="004B03D7" w:rsidRDefault="004B03D7">
            <w:pPr>
              <w:spacing w:after="200" w:line="276" w:lineRule="auto"/>
              <w:rPr>
                <w:lang w:eastAsia="en-GB"/>
              </w:rPr>
            </w:pPr>
          </w:p>
          <w:p w14:paraId="1E1277C5" w14:textId="77777777" w:rsidR="004B03D7" w:rsidRDefault="004B03D7">
            <w:pPr>
              <w:spacing w:after="200" w:line="276" w:lineRule="auto"/>
              <w:rPr>
                <w:lang w:eastAsia="en-GB"/>
              </w:rPr>
            </w:pPr>
          </w:p>
          <w:p w14:paraId="45897C82" w14:textId="77777777" w:rsidR="004B03D7" w:rsidRDefault="004B03D7">
            <w:pPr>
              <w:spacing w:after="200" w:line="276" w:lineRule="auto"/>
              <w:rPr>
                <w:lang w:eastAsia="en-GB"/>
              </w:rPr>
            </w:pPr>
          </w:p>
        </w:tc>
      </w:tr>
      <w:tr w:rsidR="004B03D7" w14:paraId="32670B98" w14:textId="77777777">
        <w:trPr>
          <w:trHeight w:hRule="exact" w:val="3701"/>
        </w:trPr>
        <w:tc>
          <w:tcPr>
            <w:tcW w:w="188" w:type="pct"/>
            <w:tcBorders>
              <w:top w:val="single" w:sz="4" w:space="0" w:color="auto"/>
              <w:left w:val="single" w:sz="4" w:space="0" w:color="auto"/>
              <w:bottom w:val="single" w:sz="4" w:space="0" w:color="auto"/>
              <w:right w:val="single" w:sz="4" w:space="0" w:color="auto"/>
            </w:tcBorders>
            <w:vAlign w:val="center"/>
          </w:tcPr>
          <w:p w14:paraId="61B68627"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32457EBB" w14:textId="77777777" w:rsidR="004B03D7" w:rsidRDefault="004B03D7">
            <w:pPr>
              <w:spacing w:after="200" w:line="276" w:lineRule="auto"/>
              <w:ind w:left="20"/>
              <w:rPr>
                <w:lang w:eastAsia="en-GB"/>
              </w:rPr>
            </w:pPr>
            <w:r>
              <w:rPr>
                <w:lang w:eastAsia="en-GB"/>
              </w:rPr>
              <w:t>How will these outcomes directly result in benefit for the public? Please give details. This should be the main section answered.</w:t>
            </w:r>
          </w:p>
          <w:p w14:paraId="2F1B8960" w14:textId="77777777" w:rsidR="004B03D7" w:rsidRDefault="004B03D7">
            <w:pPr>
              <w:spacing w:after="200" w:line="276" w:lineRule="auto"/>
              <w:ind w:left="20"/>
              <w:rPr>
                <w:lang w:eastAsia="en-GB"/>
              </w:rPr>
            </w:pPr>
          </w:p>
          <w:p w14:paraId="4E71FF9E" w14:textId="77777777" w:rsidR="004B03D7" w:rsidRDefault="004B03D7">
            <w:pPr>
              <w:spacing w:after="200" w:line="276" w:lineRule="auto"/>
              <w:ind w:left="20"/>
              <w:rPr>
                <w:lang w:eastAsia="en-GB"/>
              </w:rPr>
            </w:pPr>
          </w:p>
          <w:p w14:paraId="06681EC7" w14:textId="77777777" w:rsidR="004B03D7" w:rsidRDefault="004B03D7">
            <w:pPr>
              <w:spacing w:after="200" w:line="276" w:lineRule="auto"/>
              <w:ind w:left="20"/>
              <w:rPr>
                <w:lang w:eastAsia="en-GB"/>
              </w:rPr>
            </w:pPr>
          </w:p>
          <w:p w14:paraId="63716B9E" w14:textId="77777777" w:rsidR="004B03D7" w:rsidRDefault="004B03D7">
            <w:pPr>
              <w:spacing w:after="200" w:line="276" w:lineRule="auto"/>
              <w:ind w:left="20"/>
              <w:rPr>
                <w:lang w:eastAsia="en-GB"/>
              </w:rPr>
            </w:pPr>
          </w:p>
          <w:p w14:paraId="113A7680" w14:textId="77777777" w:rsidR="004B03D7" w:rsidRDefault="004B03D7">
            <w:pPr>
              <w:spacing w:after="200" w:line="276" w:lineRule="auto"/>
              <w:ind w:left="20"/>
              <w:rPr>
                <w:lang w:eastAsia="en-GB"/>
              </w:rPr>
            </w:pPr>
          </w:p>
          <w:p w14:paraId="0AE0C7C6" w14:textId="77777777" w:rsidR="004B03D7" w:rsidRDefault="004B03D7">
            <w:pPr>
              <w:spacing w:after="200" w:line="276" w:lineRule="auto"/>
              <w:ind w:left="20"/>
              <w:rPr>
                <w:lang w:eastAsia="en-GB"/>
              </w:rPr>
            </w:pPr>
          </w:p>
          <w:p w14:paraId="6C5C9E0A" w14:textId="77777777" w:rsidR="004B03D7" w:rsidRDefault="004B03D7">
            <w:pPr>
              <w:spacing w:after="200" w:line="276" w:lineRule="auto"/>
              <w:ind w:left="20"/>
              <w:rPr>
                <w:lang w:eastAsia="en-GB"/>
              </w:rPr>
            </w:pPr>
          </w:p>
          <w:p w14:paraId="3827DECB" w14:textId="77777777" w:rsidR="004B03D7" w:rsidRDefault="004B03D7">
            <w:pPr>
              <w:spacing w:after="200" w:line="276" w:lineRule="auto"/>
              <w:ind w:left="20"/>
              <w:rPr>
                <w:lang w:eastAsia="en-GB"/>
              </w:rPr>
            </w:pPr>
          </w:p>
          <w:p w14:paraId="6C9AE0A5" w14:textId="77777777" w:rsidR="004B03D7" w:rsidRDefault="004B03D7">
            <w:pPr>
              <w:spacing w:after="200" w:line="276" w:lineRule="auto"/>
              <w:ind w:left="20"/>
              <w:rPr>
                <w:lang w:eastAsia="en-GB"/>
              </w:rPr>
            </w:pPr>
          </w:p>
          <w:p w14:paraId="0CA8FE0D" w14:textId="77777777" w:rsidR="004B03D7" w:rsidRDefault="004B03D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A26DF9C" w14:textId="77777777" w:rsidR="004B03D7" w:rsidRDefault="004B03D7">
            <w:pPr>
              <w:spacing w:line="360" w:lineRule="auto"/>
              <w:rPr>
                <w:lang w:eastAsia="en-GB"/>
              </w:rPr>
            </w:pPr>
            <w:r>
              <w:rPr>
                <w:lang w:eastAsia="en-GB"/>
              </w:rPr>
              <w:t>NICE has this year indicated that this type of surgery should be tried in the NHS and reviewed in three years for possible clinical and cost effectiveness and adoption in the NHS.</w:t>
            </w:r>
          </w:p>
          <w:p w14:paraId="505D47ED" w14:textId="77777777" w:rsidR="004B03D7" w:rsidRDefault="004B03D7">
            <w:pPr>
              <w:spacing w:line="360" w:lineRule="auto"/>
              <w:rPr>
                <w:lang w:eastAsia="en-GB"/>
              </w:rPr>
            </w:pPr>
            <w:r>
              <w:rPr>
                <w:lang w:eastAsia="en-GB"/>
              </w:rPr>
              <w:t>We have previously published the clinical effectiveness of these Two RCTs and on the immediate costs of the surgery. This project has added knowledge of the downstream costs and shown parity between techniques.</w:t>
            </w:r>
          </w:p>
          <w:p w14:paraId="259D2A4A" w14:textId="77777777" w:rsidR="004B03D7" w:rsidRDefault="004B03D7">
            <w:pPr>
              <w:spacing w:line="360" w:lineRule="auto"/>
              <w:rPr>
                <w:lang w:eastAsia="en-GB"/>
              </w:rPr>
            </w:pPr>
          </w:p>
          <w:p w14:paraId="196C0E89" w14:textId="77777777" w:rsidR="004B03D7" w:rsidRDefault="004B03D7">
            <w:pPr>
              <w:spacing w:line="360" w:lineRule="auto"/>
              <w:rPr>
                <w:lang w:eastAsia="en-GB"/>
              </w:rPr>
            </w:pPr>
          </w:p>
          <w:p w14:paraId="61765357" w14:textId="77777777" w:rsidR="004B03D7" w:rsidRDefault="004B03D7">
            <w:pPr>
              <w:spacing w:line="360" w:lineRule="auto"/>
              <w:rPr>
                <w:lang w:eastAsia="en-GB"/>
              </w:rPr>
            </w:pPr>
          </w:p>
          <w:p w14:paraId="13682BF1" w14:textId="77777777" w:rsidR="004B03D7" w:rsidRDefault="004B03D7">
            <w:pPr>
              <w:spacing w:line="360" w:lineRule="auto"/>
              <w:rPr>
                <w:lang w:eastAsia="en-GB"/>
              </w:rPr>
            </w:pPr>
          </w:p>
          <w:p w14:paraId="1E6A6F48" w14:textId="77777777" w:rsidR="004B03D7" w:rsidRDefault="004B03D7">
            <w:pPr>
              <w:spacing w:line="360" w:lineRule="auto"/>
              <w:rPr>
                <w:lang w:eastAsia="en-GB"/>
              </w:rPr>
            </w:pPr>
          </w:p>
          <w:p w14:paraId="743BCF81" w14:textId="77777777" w:rsidR="004B03D7" w:rsidRDefault="004B03D7">
            <w:pPr>
              <w:spacing w:line="360" w:lineRule="auto"/>
              <w:rPr>
                <w:lang w:eastAsia="en-GB"/>
              </w:rPr>
            </w:pPr>
          </w:p>
          <w:p w14:paraId="35948A77" w14:textId="77777777" w:rsidR="004B03D7" w:rsidRDefault="004B03D7">
            <w:pPr>
              <w:spacing w:line="360" w:lineRule="auto"/>
              <w:rPr>
                <w:lang w:eastAsia="en-GB"/>
              </w:rPr>
            </w:pPr>
          </w:p>
          <w:p w14:paraId="1E90C1C9" w14:textId="77777777" w:rsidR="004B03D7" w:rsidRDefault="004B03D7">
            <w:pPr>
              <w:spacing w:line="360" w:lineRule="auto"/>
              <w:rPr>
                <w:lang w:eastAsia="en-GB"/>
              </w:rPr>
            </w:pPr>
          </w:p>
        </w:tc>
      </w:tr>
      <w:tr w:rsidR="004B03D7" w14:paraId="7DB569C0"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349C50" w14:textId="77777777" w:rsidR="004B03D7" w:rsidRDefault="004B03D7">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5D7797" w14:textId="77777777" w:rsidR="004B03D7" w:rsidRDefault="004B03D7">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C19D1E" w14:textId="77777777" w:rsidR="004B03D7" w:rsidRDefault="004B03D7">
            <w:pPr>
              <w:spacing w:after="200" w:line="276" w:lineRule="auto"/>
              <w:ind w:left="360"/>
              <w:rPr>
                <w:lang w:eastAsia="en-GB"/>
              </w:rPr>
            </w:pPr>
          </w:p>
        </w:tc>
      </w:tr>
      <w:tr w:rsidR="004B03D7" w14:paraId="30D032E9" w14:textId="77777777">
        <w:trPr>
          <w:trHeight w:hRule="exact" w:val="3535"/>
        </w:trPr>
        <w:tc>
          <w:tcPr>
            <w:tcW w:w="188" w:type="pct"/>
            <w:tcBorders>
              <w:top w:val="single" w:sz="4" w:space="0" w:color="auto"/>
              <w:left w:val="single" w:sz="4" w:space="0" w:color="auto"/>
              <w:bottom w:val="single" w:sz="4" w:space="0" w:color="auto"/>
              <w:right w:val="single" w:sz="4" w:space="0" w:color="auto"/>
            </w:tcBorders>
            <w:vAlign w:val="center"/>
          </w:tcPr>
          <w:p w14:paraId="33A6F3A5"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6DDD563" w14:textId="77777777" w:rsidR="004B03D7" w:rsidRDefault="004B03D7">
            <w:pPr>
              <w:spacing w:after="200" w:line="276" w:lineRule="auto"/>
              <w:ind w:left="20"/>
              <w:rPr>
                <w:lang w:eastAsia="en-GB"/>
              </w:rPr>
            </w:pPr>
            <w:r>
              <w:rPr>
                <w:lang w:eastAsia="en-GB"/>
              </w:rPr>
              <w:t xml:space="preserve">What data were received/processed/collected? </w:t>
            </w:r>
          </w:p>
          <w:p w14:paraId="275005A4" w14:textId="77777777" w:rsidR="004B03D7" w:rsidRDefault="004B03D7">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3F533C7" w14:textId="77777777" w:rsidR="004B03D7" w:rsidRDefault="004B03D7">
            <w:pPr>
              <w:spacing w:line="360" w:lineRule="auto"/>
              <w:rPr>
                <w:lang w:eastAsia="en-GB"/>
              </w:rPr>
            </w:pPr>
            <w:r>
              <w:rPr>
                <w:lang w:eastAsia="en-GB"/>
              </w:rPr>
              <w:t>The downstream costs of our trial participants over the period 2013-2023 from SMR00, SMR01 and prescribing databases were received. We split them into their trial groups by participant number and compared downstream costs for the groups in both trials. We had hoped that downstream costs would be lower in the robotic group and they were by about £5000 but the difference was not found to be statistically significant.</w:t>
            </w:r>
          </w:p>
        </w:tc>
      </w:tr>
      <w:tr w:rsidR="004B03D7" w14:paraId="503E3559"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3DD169" w14:textId="77777777" w:rsidR="004B03D7" w:rsidRDefault="004B03D7">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978EE5" w14:textId="77777777" w:rsidR="004B03D7" w:rsidRDefault="004B03D7">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51DAA8" w14:textId="77777777" w:rsidR="004B03D7" w:rsidRDefault="004B03D7">
            <w:pPr>
              <w:spacing w:after="200" w:line="276" w:lineRule="auto"/>
              <w:ind w:left="360"/>
              <w:rPr>
                <w:lang w:eastAsia="en-GB"/>
              </w:rPr>
            </w:pPr>
          </w:p>
        </w:tc>
      </w:tr>
      <w:tr w:rsidR="004B03D7" w14:paraId="67E0AB27" w14:textId="77777777">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D917AC2"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11F661A" w14:textId="77777777" w:rsidR="004B03D7" w:rsidRDefault="004B03D7">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C9CD693" w14:textId="77777777" w:rsidR="004B03D7" w:rsidRDefault="004B03D7">
            <w:pPr>
              <w:spacing w:line="360" w:lineRule="auto"/>
              <w:rPr>
                <w:lang w:eastAsia="en-GB"/>
              </w:rPr>
            </w:pPr>
            <w:r>
              <w:rPr>
                <w:lang w:eastAsia="en-GB"/>
              </w:rPr>
              <w:t>The data was collected by the NHS and held by eDRIS</w:t>
            </w:r>
          </w:p>
        </w:tc>
      </w:tr>
      <w:tr w:rsidR="004B03D7" w14:paraId="6EE87786" w14:textId="77777777">
        <w:trPr>
          <w:trHeight w:hRule="exact" w:val="1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2EAA2" w14:textId="77777777" w:rsidR="004B03D7" w:rsidRDefault="004B03D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DC01F2B" w14:textId="77777777" w:rsidR="004B03D7" w:rsidRDefault="004B03D7">
            <w:pPr>
              <w:spacing w:after="200" w:line="276" w:lineRule="auto"/>
              <w:ind w:left="20"/>
              <w:rPr>
                <w:lang w:eastAsia="en-GB"/>
              </w:rPr>
            </w:pPr>
            <w:r>
              <w:rPr>
                <w:lang w:eastAsia="en-GB"/>
              </w:rPr>
              <w:t xml:space="preserve">How did you process the data? </w:t>
            </w:r>
          </w:p>
          <w:p w14:paraId="0E78980E" w14:textId="77777777" w:rsidR="004B03D7" w:rsidRDefault="004B03D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36E05FC" w14:textId="77777777" w:rsidR="004B03D7" w:rsidRDefault="004B03D7">
            <w:pPr>
              <w:spacing w:after="200" w:line="276" w:lineRule="auto"/>
              <w:ind w:left="20"/>
              <w:rPr>
                <w:lang w:eastAsia="en-GB"/>
              </w:rPr>
            </w:pPr>
            <w:r>
              <w:rPr>
                <w:lang w:eastAsia="en-GB"/>
              </w:rPr>
              <w:t>We split them into their trial groups by participant number and compared downstream costs for the groups in both trials</w:t>
            </w:r>
          </w:p>
        </w:tc>
      </w:tr>
      <w:tr w:rsidR="004B03D7" w14:paraId="1F06E58B" w14:textId="77777777">
        <w:trPr>
          <w:trHeight w:hRule="exact" w:val="10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E4DDB" w14:textId="77777777" w:rsidR="004B03D7" w:rsidRDefault="004B03D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C3DC644" w14:textId="77777777" w:rsidR="004B03D7" w:rsidRDefault="004B03D7">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8EBF445" w14:textId="77777777" w:rsidR="004B03D7" w:rsidRDefault="004B03D7">
            <w:pPr>
              <w:spacing w:line="360" w:lineRule="auto"/>
              <w:rPr>
                <w:lang w:eastAsia="en-GB"/>
              </w:rPr>
            </w:pPr>
            <w:r>
              <w:rPr>
                <w:lang w:eastAsia="en-GB"/>
              </w:rPr>
              <w:t>We have written two journal papers one on each trial and these are under internal review before submission to leading journals in the field</w:t>
            </w:r>
          </w:p>
        </w:tc>
      </w:tr>
      <w:tr w:rsidR="004B03D7" w14:paraId="01677518" w14:textId="77777777">
        <w:trPr>
          <w:trHeight w:hRule="exact" w:val="21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0BD3E" w14:textId="77777777" w:rsidR="004B03D7" w:rsidRDefault="004B03D7">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F88D2C2" w14:textId="77777777" w:rsidR="004B03D7" w:rsidRDefault="004B03D7">
            <w:pPr>
              <w:spacing w:after="200" w:line="276" w:lineRule="auto"/>
              <w:ind w:left="20"/>
              <w:rPr>
                <w:lang w:eastAsia="en-GB"/>
              </w:rPr>
            </w:pPr>
            <w:r>
              <w:rPr>
                <w:lang w:eastAsia="en-GB"/>
              </w:rPr>
              <w:t>Did your study scope change from its original aims? Please give brief details.</w:t>
            </w:r>
          </w:p>
          <w:p w14:paraId="7F0A3124" w14:textId="77777777" w:rsidR="004B03D7" w:rsidRDefault="004B03D7">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50C3C05" w14:textId="77777777" w:rsidR="004B03D7" w:rsidRDefault="004B03D7">
            <w:pPr>
              <w:spacing w:line="360" w:lineRule="auto"/>
              <w:rPr>
                <w:lang w:eastAsia="en-GB"/>
              </w:rPr>
            </w:pPr>
            <w:r>
              <w:rPr>
                <w:lang w:eastAsia="en-GB"/>
              </w:rPr>
              <w:t>Yes, it was hoped that we could split the data into those downstream costs that could be attributed to the intervention and those that were not but this proved too complex and time consuming to implement.</w:t>
            </w:r>
          </w:p>
        </w:tc>
      </w:tr>
      <w:tr w:rsidR="004B03D7" w14:paraId="7FCFBED1"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03D50F" w14:textId="77777777" w:rsidR="004B03D7" w:rsidRDefault="004B03D7">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19B43" w14:textId="77777777" w:rsidR="004B03D7" w:rsidRDefault="004B03D7">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E0D43" w14:textId="77777777" w:rsidR="004B03D7" w:rsidRDefault="004B03D7">
            <w:pPr>
              <w:spacing w:after="200" w:line="276" w:lineRule="auto"/>
              <w:ind w:left="360"/>
              <w:rPr>
                <w:lang w:eastAsia="en-GB"/>
              </w:rPr>
            </w:pPr>
          </w:p>
        </w:tc>
      </w:tr>
      <w:tr w:rsidR="004B03D7" w14:paraId="1C3149D3" w14:textId="77777777">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FD86550"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B3A4FA" w14:textId="77777777" w:rsidR="004B03D7" w:rsidRDefault="004B03D7">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5CCC86A" w14:textId="77777777" w:rsidR="004B03D7" w:rsidRDefault="004B03D7">
            <w:pPr>
              <w:spacing w:line="360" w:lineRule="auto"/>
              <w:rPr>
                <w:lang w:eastAsia="en-GB"/>
              </w:rPr>
            </w:pPr>
            <w:r>
              <w:rPr>
                <w:lang w:eastAsia="en-GB"/>
              </w:rPr>
              <w:t>The data showed parity in downstream costs between robotic and conventional knee surgery. There was some indication that robotic surgery led to a reduced downstream cost in both trials</w:t>
            </w:r>
          </w:p>
        </w:tc>
      </w:tr>
      <w:tr w:rsidR="004B03D7" w14:paraId="693D39BB" w14:textId="77777777">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E9E9C9" w14:textId="77777777" w:rsidR="004B03D7" w:rsidRDefault="004B03D7">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A9E76" w14:textId="77777777" w:rsidR="004B03D7" w:rsidRDefault="004B03D7">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5DD18F" w14:textId="77777777" w:rsidR="004B03D7" w:rsidRDefault="004B03D7">
            <w:pPr>
              <w:spacing w:after="200" w:line="276" w:lineRule="auto"/>
              <w:ind w:left="360"/>
              <w:rPr>
                <w:lang w:eastAsia="en-GB"/>
              </w:rPr>
            </w:pPr>
          </w:p>
        </w:tc>
      </w:tr>
      <w:tr w:rsidR="004B03D7" w14:paraId="4F4413D6" w14:textId="77777777">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CDCB284" w14:textId="77777777" w:rsidR="004B03D7" w:rsidRDefault="004B03D7">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9B96E42" w14:textId="77777777" w:rsidR="004B03D7" w:rsidRDefault="004B03D7">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C7C102" w14:textId="77777777" w:rsidR="004B03D7" w:rsidRDefault="004B03D7">
            <w:pPr>
              <w:spacing w:line="360" w:lineRule="auto"/>
              <w:rPr>
                <w:lang w:eastAsia="en-GB"/>
              </w:rPr>
            </w:pPr>
            <w:r>
              <w:rPr>
                <w:lang w:eastAsia="en-GB"/>
              </w:rPr>
              <w:t>Yes the robotic technology is being tried out in the NHS more widely now and future exploration can use this methodology to include a bigger sample with greater power.</w:t>
            </w:r>
          </w:p>
        </w:tc>
      </w:tr>
    </w:tbl>
    <w:p w14:paraId="01B9D5BB" w14:textId="77777777" w:rsidR="004B03D7" w:rsidRDefault="004B03D7" w:rsidP="004B03D7">
      <w:pPr>
        <w:spacing w:line="240" w:lineRule="auto"/>
        <w:ind w:left="-851"/>
        <w:rPr>
          <w:rFonts w:ascii="Arial" w:eastAsia="Times New Roman" w:hAnsi="Arial" w:cs="Arial"/>
          <w:lang w:eastAsia="en-GB"/>
        </w:rPr>
      </w:pPr>
    </w:p>
    <w:p w14:paraId="3E325712" w14:textId="77777777" w:rsidR="00341112" w:rsidRPr="00341112" w:rsidRDefault="00341112" w:rsidP="007B7F65">
      <w:pPr>
        <w:spacing w:line="240" w:lineRule="auto"/>
        <w:ind w:left="-851"/>
        <w:rPr>
          <w:b/>
          <w:sz w:val="24"/>
          <w:szCs w:val="24"/>
        </w:rPr>
      </w:pPr>
    </w:p>
    <w:p w14:paraId="75208465" w14:textId="77777777" w:rsidR="007B7F65" w:rsidRDefault="007B7F65" w:rsidP="002D65EE">
      <w:pPr>
        <w:spacing w:line="240" w:lineRule="auto"/>
        <w:ind w:left="-851"/>
        <w:rPr>
          <w:b/>
          <w:sz w:val="28"/>
          <w:szCs w:val="28"/>
        </w:rPr>
      </w:pPr>
    </w:p>
    <w:p w14:paraId="126CC39A" w14:textId="77777777" w:rsidR="007B7F65" w:rsidRDefault="007B7F65" w:rsidP="002D65EE">
      <w:pPr>
        <w:spacing w:line="240" w:lineRule="auto"/>
        <w:ind w:left="-851"/>
        <w:rPr>
          <w:b/>
          <w:sz w:val="28"/>
          <w:szCs w:val="28"/>
        </w:rPr>
      </w:pPr>
    </w:p>
    <w:p w14:paraId="06C8E97F" w14:textId="77777777" w:rsidR="007B7F65" w:rsidRDefault="007B7F65" w:rsidP="002D65EE">
      <w:pPr>
        <w:spacing w:line="240" w:lineRule="auto"/>
        <w:ind w:left="-851"/>
        <w:rPr>
          <w:b/>
          <w:sz w:val="28"/>
          <w:szCs w:val="28"/>
        </w:rPr>
      </w:pPr>
    </w:p>
    <w:p w14:paraId="73F12746" w14:textId="77777777" w:rsidR="002D65EE" w:rsidRPr="00742CFA" w:rsidRDefault="002D65EE" w:rsidP="002D65EE">
      <w:pPr>
        <w:rPr>
          <w:b/>
          <w:sz w:val="24"/>
          <w:szCs w:val="24"/>
        </w:rPr>
      </w:pPr>
    </w:p>
    <w:p w14:paraId="0EF55A7A" w14:textId="77777777" w:rsidR="00410801" w:rsidRDefault="00410801" w:rsidP="00E8156A">
      <w:pPr>
        <w:pStyle w:val="Heading2"/>
      </w:pPr>
    </w:p>
    <w:p w14:paraId="1B66887C" w14:textId="77003DDF" w:rsidR="004B53D4" w:rsidRDefault="004B53D4" w:rsidP="004B53D4">
      <w:pPr>
        <w:pStyle w:val="Heading2"/>
      </w:pPr>
      <w:bookmarkStart w:id="25" w:name="_1920-0073_Liz_Watt"/>
      <w:bookmarkEnd w:id="25"/>
      <w:r w:rsidRPr="004B53D4">
        <w:t>1920-0073</w:t>
      </w:r>
      <w:r w:rsidRPr="004B53D4">
        <w:tab/>
        <w:t>Liz Watt</w:t>
      </w:r>
    </w:p>
    <w:p w14:paraId="1A834E15" w14:textId="77777777" w:rsidR="004B53D4" w:rsidRDefault="004B53D4" w:rsidP="004B53D4"/>
    <w:p w14:paraId="3E7A67B0" w14:textId="4AED7EBD" w:rsidR="004B53D4" w:rsidRPr="004B53D4" w:rsidRDefault="004B53D4" w:rsidP="004B53D4">
      <w:pPr>
        <w:rPr>
          <w:b/>
          <w:sz w:val="24"/>
          <w:szCs w:val="24"/>
        </w:rPr>
      </w:pPr>
      <w:r w:rsidRPr="004B53D4">
        <w:rPr>
          <w:b/>
          <w:sz w:val="24"/>
          <w:szCs w:val="24"/>
        </w:rPr>
        <w:t>Teenage &amp; Young Adult cancer Palliative Care: End of Life Care Audit</w:t>
      </w:r>
    </w:p>
    <w:p w14:paraId="61776DE5" w14:textId="77777777" w:rsidR="004B53D4" w:rsidRDefault="004B53D4" w:rsidP="004B53D4">
      <w:pPr>
        <w:pStyle w:val="NoSpacing"/>
        <w:rPr>
          <w:b/>
          <w:sz w:val="24"/>
          <w:szCs w:val="24"/>
        </w:rPr>
      </w:pPr>
      <w:r w:rsidRPr="00437DAB">
        <w:rPr>
          <w:b/>
          <w:sz w:val="24"/>
          <w:szCs w:val="24"/>
        </w:rPr>
        <w:t>End of Project Summary</w:t>
      </w:r>
    </w:p>
    <w:p w14:paraId="43319258" w14:textId="77777777" w:rsidR="004B53D4" w:rsidRDefault="004B53D4" w:rsidP="004B53D4">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855607" w:rsidRPr="00855607" w14:paraId="7F306112" w14:textId="77777777" w:rsidTr="00570361">
        <w:trPr>
          <w:trHeight w:hRule="exact" w:val="567"/>
        </w:trPr>
        <w:tc>
          <w:tcPr>
            <w:tcW w:w="188" w:type="pct"/>
            <w:shd w:val="clear" w:color="auto" w:fill="B8CCE4" w:themeFill="accent1" w:themeFillTint="66"/>
            <w:vAlign w:val="center"/>
          </w:tcPr>
          <w:p w14:paraId="0E41BB1F"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1</w:t>
            </w:r>
          </w:p>
        </w:tc>
        <w:tc>
          <w:tcPr>
            <w:tcW w:w="1863" w:type="pct"/>
            <w:shd w:val="clear" w:color="auto" w:fill="B8CCE4" w:themeFill="accent1" w:themeFillTint="66"/>
            <w:vAlign w:val="center"/>
          </w:tcPr>
          <w:p w14:paraId="0AB456F4"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Aims</w:t>
            </w:r>
          </w:p>
        </w:tc>
        <w:tc>
          <w:tcPr>
            <w:tcW w:w="2949" w:type="pct"/>
            <w:shd w:val="clear" w:color="auto" w:fill="B8CCE4" w:themeFill="accent1" w:themeFillTint="66"/>
            <w:vAlign w:val="center"/>
          </w:tcPr>
          <w:p w14:paraId="43787514" w14:textId="77777777" w:rsidR="00855607" w:rsidRPr="00855607" w:rsidRDefault="00855607" w:rsidP="00855607">
            <w:pPr>
              <w:ind w:left="360"/>
              <w:jc w:val="both"/>
              <w:rPr>
                <w:rFonts w:ascii="Arial" w:eastAsia="Times New Roman" w:hAnsi="Arial" w:cs="Arial"/>
                <w:lang w:eastAsia="en-GB"/>
              </w:rPr>
            </w:pPr>
          </w:p>
        </w:tc>
      </w:tr>
      <w:tr w:rsidR="00855607" w:rsidRPr="00855607" w14:paraId="1AA642D2" w14:textId="77777777" w:rsidTr="00570361">
        <w:trPr>
          <w:trHeight w:hRule="exact" w:val="2648"/>
        </w:trPr>
        <w:tc>
          <w:tcPr>
            <w:tcW w:w="188" w:type="pct"/>
            <w:tcBorders>
              <w:bottom w:val="single" w:sz="4" w:space="0" w:color="auto"/>
            </w:tcBorders>
            <w:vAlign w:val="center"/>
          </w:tcPr>
          <w:p w14:paraId="7E08E373"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vAlign w:val="center"/>
          </w:tcPr>
          <w:p w14:paraId="360AB2FB"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538118EE"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rPr>
              <w:t xml:space="preserve">To identify gaps in palliative and end of life care for teenagers and young adults (TYA) age 15 – 24 years and 364 days in Scotland and their carer’s. </w:t>
            </w:r>
          </w:p>
        </w:tc>
      </w:tr>
      <w:tr w:rsidR="00855607" w:rsidRPr="00855607" w14:paraId="05E8B240" w14:textId="77777777" w:rsidTr="00570361">
        <w:trPr>
          <w:trHeight w:hRule="exact" w:val="567"/>
        </w:trPr>
        <w:tc>
          <w:tcPr>
            <w:tcW w:w="188" w:type="pct"/>
            <w:shd w:val="clear" w:color="auto" w:fill="B8CCE4" w:themeFill="accent1" w:themeFillTint="66"/>
            <w:vAlign w:val="center"/>
          </w:tcPr>
          <w:p w14:paraId="775E3C64"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2</w:t>
            </w:r>
          </w:p>
        </w:tc>
        <w:tc>
          <w:tcPr>
            <w:tcW w:w="1863" w:type="pct"/>
            <w:shd w:val="clear" w:color="auto" w:fill="B8CCE4" w:themeFill="accent1" w:themeFillTint="66"/>
            <w:vAlign w:val="center"/>
          </w:tcPr>
          <w:p w14:paraId="753FBAD1"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Public Benefit Impact</w:t>
            </w:r>
          </w:p>
        </w:tc>
        <w:tc>
          <w:tcPr>
            <w:tcW w:w="2949" w:type="pct"/>
            <w:shd w:val="clear" w:color="auto" w:fill="B8CCE4" w:themeFill="accent1" w:themeFillTint="66"/>
            <w:vAlign w:val="center"/>
          </w:tcPr>
          <w:p w14:paraId="28EED2BF" w14:textId="77777777" w:rsidR="00855607" w:rsidRPr="00855607" w:rsidRDefault="00855607" w:rsidP="00855607">
            <w:pPr>
              <w:ind w:left="360"/>
              <w:jc w:val="both"/>
              <w:rPr>
                <w:rFonts w:ascii="Arial" w:eastAsia="Times New Roman" w:hAnsi="Arial" w:cs="Arial"/>
                <w:lang w:eastAsia="en-GB"/>
              </w:rPr>
            </w:pPr>
          </w:p>
          <w:p w14:paraId="6D17B5BC" w14:textId="77777777" w:rsidR="00855607" w:rsidRPr="00855607" w:rsidRDefault="00855607" w:rsidP="00855607">
            <w:pPr>
              <w:rPr>
                <w:rFonts w:ascii="Arial" w:eastAsia="Times New Roman" w:hAnsi="Arial" w:cs="Arial"/>
                <w:lang w:eastAsia="en-GB"/>
              </w:rPr>
            </w:pPr>
          </w:p>
          <w:p w14:paraId="41A3F105" w14:textId="77777777" w:rsidR="00855607" w:rsidRPr="00855607" w:rsidRDefault="00855607" w:rsidP="00855607">
            <w:pPr>
              <w:rPr>
                <w:rFonts w:ascii="Arial" w:eastAsia="Times New Roman" w:hAnsi="Arial" w:cs="Arial"/>
                <w:lang w:eastAsia="en-GB"/>
              </w:rPr>
            </w:pPr>
          </w:p>
          <w:p w14:paraId="4962333E" w14:textId="77777777" w:rsidR="00855607" w:rsidRPr="00855607" w:rsidRDefault="00855607" w:rsidP="00855607">
            <w:pPr>
              <w:rPr>
                <w:rFonts w:ascii="Arial" w:eastAsia="Times New Roman" w:hAnsi="Arial" w:cs="Arial"/>
                <w:lang w:eastAsia="en-GB"/>
              </w:rPr>
            </w:pPr>
          </w:p>
          <w:p w14:paraId="5754B6FA" w14:textId="77777777" w:rsidR="00855607" w:rsidRPr="00855607" w:rsidRDefault="00855607" w:rsidP="00855607">
            <w:pPr>
              <w:rPr>
                <w:rFonts w:ascii="Arial" w:eastAsia="Times New Roman" w:hAnsi="Arial" w:cs="Arial"/>
                <w:lang w:eastAsia="en-GB"/>
              </w:rPr>
            </w:pPr>
          </w:p>
          <w:p w14:paraId="67FC6C69" w14:textId="77777777" w:rsidR="00855607" w:rsidRPr="00855607" w:rsidRDefault="00855607" w:rsidP="00855607">
            <w:pPr>
              <w:rPr>
                <w:rFonts w:ascii="Arial" w:eastAsia="Times New Roman" w:hAnsi="Arial" w:cs="Arial"/>
                <w:lang w:eastAsia="en-GB"/>
              </w:rPr>
            </w:pPr>
          </w:p>
          <w:p w14:paraId="59D7DEF2" w14:textId="77777777" w:rsidR="00855607" w:rsidRPr="00855607" w:rsidRDefault="00855607" w:rsidP="00855607">
            <w:pPr>
              <w:rPr>
                <w:rFonts w:ascii="Arial" w:eastAsia="Times New Roman" w:hAnsi="Arial" w:cs="Arial"/>
                <w:lang w:eastAsia="en-GB"/>
              </w:rPr>
            </w:pPr>
          </w:p>
          <w:p w14:paraId="4990CBD8" w14:textId="77777777" w:rsidR="00855607" w:rsidRPr="00855607" w:rsidRDefault="00855607" w:rsidP="00855607">
            <w:pPr>
              <w:rPr>
                <w:rFonts w:ascii="Arial" w:eastAsia="Times New Roman" w:hAnsi="Arial" w:cs="Arial"/>
                <w:lang w:eastAsia="en-GB"/>
              </w:rPr>
            </w:pPr>
          </w:p>
          <w:p w14:paraId="52E906D1" w14:textId="77777777" w:rsidR="00855607" w:rsidRPr="00855607" w:rsidRDefault="00855607" w:rsidP="00855607">
            <w:pPr>
              <w:rPr>
                <w:rFonts w:ascii="Arial" w:eastAsia="Times New Roman" w:hAnsi="Arial" w:cs="Arial"/>
                <w:lang w:eastAsia="en-GB"/>
              </w:rPr>
            </w:pPr>
          </w:p>
          <w:p w14:paraId="50B7689A" w14:textId="77777777" w:rsidR="00855607" w:rsidRPr="00855607" w:rsidRDefault="00855607" w:rsidP="00855607">
            <w:pPr>
              <w:rPr>
                <w:rFonts w:ascii="Arial" w:eastAsia="Times New Roman" w:hAnsi="Arial" w:cs="Arial"/>
                <w:lang w:eastAsia="en-GB"/>
              </w:rPr>
            </w:pPr>
          </w:p>
          <w:p w14:paraId="2734AC45" w14:textId="77777777" w:rsidR="00855607" w:rsidRPr="00855607" w:rsidRDefault="00855607" w:rsidP="00855607">
            <w:pPr>
              <w:rPr>
                <w:rFonts w:ascii="Arial" w:eastAsia="Times New Roman" w:hAnsi="Arial" w:cs="Arial"/>
                <w:lang w:eastAsia="en-GB"/>
              </w:rPr>
            </w:pPr>
          </w:p>
          <w:p w14:paraId="2AC1A21E" w14:textId="77777777" w:rsidR="00855607" w:rsidRPr="00855607" w:rsidRDefault="00855607" w:rsidP="00855607">
            <w:pPr>
              <w:rPr>
                <w:rFonts w:ascii="Arial" w:eastAsia="Times New Roman" w:hAnsi="Arial" w:cs="Arial"/>
                <w:lang w:eastAsia="en-GB"/>
              </w:rPr>
            </w:pPr>
          </w:p>
          <w:p w14:paraId="61752493" w14:textId="77777777" w:rsidR="00855607" w:rsidRPr="00855607" w:rsidRDefault="00855607" w:rsidP="00855607">
            <w:pPr>
              <w:rPr>
                <w:rFonts w:ascii="Arial" w:eastAsia="Times New Roman" w:hAnsi="Arial" w:cs="Arial"/>
                <w:lang w:eastAsia="en-GB"/>
              </w:rPr>
            </w:pPr>
          </w:p>
          <w:p w14:paraId="660906C6" w14:textId="77777777" w:rsidR="00855607" w:rsidRPr="00855607" w:rsidRDefault="00855607" w:rsidP="00855607">
            <w:pPr>
              <w:rPr>
                <w:rFonts w:ascii="Arial" w:eastAsia="Times New Roman" w:hAnsi="Arial" w:cs="Arial"/>
                <w:lang w:eastAsia="en-GB"/>
              </w:rPr>
            </w:pPr>
          </w:p>
          <w:p w14:paraId="0355BEF0" w14:textId="77777777" w:rsidR="00855607" w:rsidRPr="00855607" w:rsidRDefault="00855607" w:rsidP="00855607">
            <w:pPr>
              <w:rPr>
                <w:rFonts w:ascii="Arial" w:eastAsia="Times New Roman" w:hAnsi="Arial" w:cs="Arial"/>
                <w:lang w:eastAsia="en-GB"/>
              </w:rPr>
            </w:pPr>
          </w:p>
          <w:p w14:paraId="0B8AAAF9" w14:textId="77777777" w:rsidR="00855607" w:rsidRPr="00855607" w:rsidRDefault="00855607" w:rsidP="00855607">
            <w:pPr>
              <w:rPr>
                <w:rFonts w:ascii="Arial" w:eastAsia="Times New Roman" w:hAnsi="Arial" w:cs="Arial"/>
                <w:lang w:eastAsia="en-GB"/>
              </w:rPr>
            </w:pPr>
          </w:p>
          <w:p w14:paraId="61CDC542" w14:textId="77777777" w:rsidR="00855607" w:rsidRPr="00855607" w:rsidRDefault="00855607" w:rsidP="00855607">
            <w:pPr>
              <w:rPr>
                <w:rFonts w:ascii="Arial" w:eastAsia="Times New Roman" w:hAnsi="Arial" w:cs="Arial"/>
                <w:lang w:eastAsia="en-GB"/>
              </w:rPr>
            </w:pPr>
          </w:p>
          <w:p w14:paraId="2E1554A9" w14:textId="77777777" w:rsidR="00855607" w:rsidRPr="00855607" w:rsidRDefault="00855607" w:rsidP="00855607">
            <w:pPr>
              <w:rPr>
                <w:rFonts w:ascii="Arial" w:eastAsia="Times New Roman" w:hAnsi="Arial" w:cs="Arial"/>
                <w:lang w:eastAsia="en-GB"/>
              </w:rPr>
            </w:pPr>
          </w:p>
          <w:p w14:paraId="035DAF84" w14:textId="77777777" w:rsidR="00855607" w:rsidRPr="00855607" w:rsidRDefault="00855607" w:rsidP="00855607">
            <w:pPr>
              <w:rPr>
                <w:rFonts w:ascii="Arial" w:eastAsia="Times New Roman" w:hAnsi="Arial" w:cs="Arial"/>
                <w:lang w:eastAsia="en-GB"/>
              </w:rPr>
            </w:pPr>
          </w:p>
          <w:p w14:paraId="3C22FF72" w14:textId="77777777" w:rsidR="00855607" w:rsidRPr="00855607" w:rsidRDefault="00855607" w:rsidP="00855607">
            <w:pPr>
              <w:rPr>
                <w:rFonts w:ascii="Arial" w:eastAsia="Times New Roman" w:hAnsi="Arial" w:cs="Arial"/>
                <w:lang w:eastAsia="en-GB"/>
              </w:rPr>
            </w:pPr>
          </w:p>
          <w:p w14:paraId="25AE7D80" w14:textId="77777777" w:rsidR="00855607" w:rsidRPr="00855607" w:rsidRDefault="00855607" w:rsidP="00855607">
            <w:pPr>
              <w:rPr>
                <w:rFonts w:ascii="Arial" w:eastAsia="Times New Roman" w:hAnsi="Arial" w:cs="Arial"/>
                <w:lang w:eastAsia="en-GB"/>
              </w:rPr>
            </w:pPr>
          </w:p>
          <w:p w14:paraId="32115D1C" w14:textId="77777777" w:rsidR="00855607" w:rsidRPr="00855607" w:rsidRDefault="00855607" w:rsidP="00855607">
            <w:pPr>
              <w:rPr>
                <w:rFonts w:ascii="Arial" w:eastAsia="Times New Roman" w:hAnsi="Arial" w:cs="Arial"/>
                <w:lang w:eastAsia="en-GB"/>
              </w:rPr>
            </w:pPr>
          </w:p>
          <w:p w14:paraId="5F2DCB32" w14:textId="77777777" w:rsidR="00855607" w:rsidRPr="00855607" w:rsidRDefault="00855607" w:rsidP="00855607">
            <w:pPr>
              <w:rPr>
                <w:rFonts w:ascii="Arial" w:eastAsia="Times New Roman" w:hAnsi="Arial" w:cs="Arial"/>
                <w:lang w:eastAsia="en-GB"/>
              </w:rPr>
            </w:pPr>
          </w:p>
          <w:p w14:paraId="7AD916B3" w14:textId="77777777" w:rsidR="00855607" w:rsidRPr="00855607" w:rsidRDefault="00855607" w:rsidP="00855607">
            <w:pPr>
              <w:rPr>
                <w:rFonts w:ascii="Arial" w:eastAsia="Times New Roman" w:hAnsi="Arial" w:cs="Arial"/>
                <w:lang w:eastAsia="en-GB"/>
              </w:rPr>
            </w:pPr>
          </w:p>
          <w:p w14:paraId="7548D38D" w14:textId="77777777" w:rsidR="00855607" w:rsidRPr="00855607" w:rsidRDefault="00855607" w:rsidP="00855607">
            <w:pPr>
              <w:rPr>
                <w:rFonts w:ascii="Arial" w:eastAsia="Times New Roman" w:hAnsi="Arial" w:cs="Arial"/>
                <w:lang w:eastAsia="en-GB"/>
              </w:rPr>
            </w:pPr>
          </w:p>
        </w:tc>
      </w:tr>
      <w:tr w:rsidR="00855607" w:rsidRPr="00855607" w14:paraId="29123166" w14:textId="77777777" w:rsidTr="00570361">
        <w:trPr>
          <w:trHeight w:hRule="exact" w:val="1427"/>
        </w:trPr>
        <w:tc>
          <w:tcPr>
            <w:tcW w:w="188" w:type="pct"/>
            <w:tcBorders>
              <w:bottom w:val="single" w:sz="4" w:space="0" w:color="auto"/>
            </w:tcBorders>
            <w:vAlign w:val="center"/>
          </w:tcPr>
          <w:p w14:paraId="4B0AF5A0"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tcPr>
          <w:p w14:paraId="7E7DD3B0"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How will these outcomes directly result in benefit for the public? Please give details. This should be the main section answered.</w:t>
            </w:r>
          </w:p>
          <w:p w14:paraId="3C2EFB9A" w14:textId="77777777" w:rsidR="00855607" w:rsidRPr="00855607" w:rsidRDefault="00855607" w:rsidP="00855607">
            <w:pPr>
              <w:ind w:left="20"/>
              <w:rPr>
                <w:rFonts w:ascii="Arial" w:eastAsia="Times New Roman" w:hAnsi="Arial" w:cs="Arial"/>
                <w:lang w:eastAsia="en-GB"/>
              </w:rPr>
            </w:pPr>
          </w:p>
          <w:p w14:paraId="717715BD" w14:textId="77777777" w:rsidR="00855607" w:rsidRPr="00855607" w:rsidRDefault="00855607" w:rsidP="00855607">
            <w:pPr>
              <w:ind w:left="20"/>
              <w:rPr>
                <w:rFonts w:ascii="Arial" w:eastAsia="Times New Roman" w:hAnsi="Arial" w:cs="Arial"/>
                <w:lang w:eastAsia="en-GB"/>
              </w:rPr>
            </w:pPr>
          </w:p>
          <w:p w14:paraId="0089E8DA" w14:textId="77777777" w:rsidR="00855607" w:rsidRPr="00855607" w:rsidRDefault="00855607" w:rsidP="00855607">
            <w:pPr>
              <w:ind w:left="20"/>
              <w:rPr>
                <w:rFonts w:ascii="Arial" w:eastAsia="Times New Roman" w:hAnsi="Arial" w:cs="Arial"/>
                <w:lang w:eastAsia="en-GB"/>
              </w:rPr>
            </w:pPr>
          </w:p>
          <w:p w14:paraId="45B6A9F8" w14:textId="77777777" w:rsidR="00855607" w:rsidRPr="00855607" w:rsidRDefault="00855607" w:rsidP="00855607">
            <w:pPr>
              <w:ind w:left="20"/>
              <w:rPr>
                <w:rFonts w:ascii="Arial" w:eastAsia="Times New Roman" w:hAnsi="Arial" w:cs="Arial"/>
                <w:lang w:eastAsia="en-GB"/>
              </w:rPr>
            </w:pPr>
          </w:p>
          <w:p w14:paraId="0BA36078" w14:textId="77777777" w:rsidR="00855607" w:rsidRPr="00855607" w:rsidRDefault="00855607" w:rsidP="00855607">
            <w:pPr>
              <w:ind w:left="20"/>
              <w:rPr>
                <w:rFonts w:ascii="Arial" w:eastAsia="Times New Roman" w:hAnsi="Arial" w:cs="Arial"/>
                <w:lang w:eastAsia="en-GB"/>
              </w:rPr>
            </w:pPr>
          </w:p>
          <w:p w14:paraId="15B8A494" w14:textId="77777777" w:rsidR="00855607" w:rsidRPr="00855607" w:rsidRDefault="00855607" w:rsidP="00855607">
            <w:pPr>
              <w:ind w:left="20"/>
              <w:rPr>
                <w:rFonts w:ascii="Arial" w:eastAsia="Times New Roman" w:hAnsi="Arial" w:cs="Arial"/>
                <w:lang w:eastAsia="en-GB"/>
              </w:rPr>
            </w:pPr>
          </w:p>
          <w:p w14:paraId="678E7218" w14:textId="77777777" w:rsidR="00855607" w:rsidRPr="00855607" w:rsidRDefault="00855607" w:rsidP="00855607">
            <w:pPr>
              <w:ind w:left="20"/>
              <w:rPr>
                <w:rFonts w:ascii="Arial" w:eastAsia="Times New Roman" w:hAnsi="Arial" w:cs="Arial"/>
                <w:lang w:eastAsia="en-GB"/>
              </w:rPr>
            </w:pPr>
          </w:p>
          <w:p w14:paraId="5EBBE2A0" w14:textId="77777777" w:rsidR="00855607" w:rsidRPr="00855607" w:rsidRDefault="00855607" w:rsidP="00855607">
            <w:pPr>
              <w:ind w:left="20"/>
              <w:rPr>
                <w:rFonts w:ascii="Arial" w:eastAsia="Times New Roman" w:hAnsi="Arial" w:cs="Arial"/>
                <w:lang w:eastAsia="en-GB"/>
              </w:rPr>
            </w:pPr>
          </w:p>
        </w:tc>
        <w:tc>
          <w:tcPr>
            <w:tcW w:w="2949" w:type="pct"/>
            <w:tcBorders>
              <w:bottom w:val="single" w:sz="4" w:space="0" w:color="auto"/>
            </w:tcBorders>
          </w:tcPr>
          <w:p w14:paraId="68F20125"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rPr>
            </w:pPr>
            <w:r w:rsidRPr="00855607">
              <w:rPr>
                <w:rFonts w:ascii="Arial" w:eastAsia="Times New Roman" w:hAnsi="Arial" w:cs="Arial"/>
              </w:rPr>
              <w:t>The information would facilitate the development of age specific palliative and end of life care initiatives in order to respond to emerging need and plan future care for young people and carer’s.</w:t>
            </w:r>
          </w:p>
          <w:p w14:paraId="2722CD4C"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rPr>
            </w:pPr>
          </w:p>
          <w:p w14:paraId="7D2AA2D0"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rPr>
            </w:pPr>
          </w:p>
          <w:p w14:paraId="67B50D55"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7CD54D1"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B3B8EBA"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6DF1CE9"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864D7FC"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FBEA103"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F33A7FD"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BC05BB8"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D8B6E45"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855607" w:rsidRPr="00855607" w14:paraId="26C331C4" w14:textId="77777777" w:rsidTr="00570361">
        <w:trPr>
          <w:trHeight w:hRule="exact" w:val="567"/>
        </w:trPr>
        <w:tc>
          <w:tcPr>
            <w:tcW w:w="188" w:type="pct"/>
            <w:shd w:val="clear" w:color="auto" w:fill="B8CCE4" w:themeFill="accent1" w:themeFillTint="66"/>
            <w:vAlign w:val="center"/>
          </w:tcPr>
          <w:p w14:paraId="39FDD1D9"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3</w:t>
            </w:r>
          </w:p>
        </w:tc>
        <w:tc>
          <w:tcPr>
            <w:tcW w:w="1863" w:type="pct"/>
            <w:shd w:val="clear" w:color="auto" w:fill="B8CCE4" w:themeFill="accent1" w:themeFillTint="66"/>
            <w:vAlign w:val="center"/>
          </w:tcPr>
          <w:p w14:paraId="596849B9" w14:textId="77777777" w:rsidR="00855607" w:rsidRPr="00855607" w:rsidRDefault="00855607" w:rsidP="00855607">
            <w:pPr>
              <w:ind w:left="20"/>
              <w:rPr>
                <w:rFonts w:ascii="Arial" w:eastAsia="Times New Roman" w:hAnsi="Arial" w:cs="Arial"/>
                <w:b/>
                <w:lang w:eastAsia="en-GB"/>
              </w:rPr>
            </w:pPr>
            <w:r w:rsidRPr="00855607">
              <w:rPr>
                <w:rFonts w:ascii="Arial" w:eastAsia="Times New Roman" w:hAnsi="Arial" w:cs="Arial"/>
                <w:b/>
                <w:lang w:eastAsia="en-GB"/>
              </w:rPr>
              <w:t xml:space="preserve">Data </w:t>
            </w:r>
          </w:p>
        </w:tc>
        <w:tc>
          <w:tcPr>
            <w:tcW w:w="2949" w:type="pct"/>
            <w:shd w:val="clear" w:color="auto" w:fill="B8CCE4" w:themeFill="accent1" w:themeFillTint="66"/>
            <w:vAlign w:val="center"/>
          </w:tcPr>
          <w:p w14:paraId="10E11A86" w14:textId="77777777" w:rsidR="00855607" w:rsidRPr="00855607" w:rsidRDefault="00855607" w:rsidP="00855607">
            <w:pPr>
              <w:ind w:left="360"/>
              <w:jc w:val="both"/>
              <w:rPr>
                <w:rFonts w:ascii="Arial" w:eastAsia="Times New Roman" w:hAnsi="Arial" w:cs="Arial"/>
                <w:lang w:eastAsia="en-GB"/>
              </w:rPr>
            </w:pPr>
          </w:p>
        </w:tc>
      </w:tr>
      <w:tr w:rsidR="00855607" w:rsidRPr="00855607" w14:paraId="1D58BFA0" w14:textId="77777777" w:rsidTr="00570361">
        <w:trPr>
          <w:trHeight w:hRule="exact" w:val="3685"/>
        </w:trPr>
        <w:tc>
          <w:tcPr>
            <w:tcW w:w="188" w:type="pct"/>
            <w:tcBorders>
              <w:bottom w:val="single" w:sz="4" w:space="0" w:color="auto"/>
            </w:tcBorders>
            <w:vAlign w:val="center"/>
          </w:tcPr>
          <w:p w14:paraId="2958F0B0"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vAlign w:val="center"/>
          </w:tcPr>
          <w:p w14:paraId="54166A86"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 xml:space="preserve">What data were received/processed/collected? </w:t>
            </w:r>
          </w:p>
          <w:p w14:paraId="7B0187AB"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04BEA808"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140E697" w14:textId="77777777" w:rsidR="00855607" w:rsidRPr="00855607" w:rsidRDefault="00855607" w:rsidP="00855607">
            <w:pPr>
              <w:tabs>
                <w:tab w:val="left" w:pos="720"/>
                <w:tab w:val="left" w:pos="1440"/>
                <w:tab w:val="left" w:pos="2160"/>
                <w:tab w:val="left" w:pos="2880"/>
                <w:tab w:val="left" w:pos="4680"/>
                <w:tab w:val="left" w:pos="5400"/>
                <w:tab w:val="right" w:pos="9000"/>
              </w:tabs>
              <w:jc w:val="both"/>
              <w:rPr>
                <w:rFonts w:ascii="Arial" w:eastAsia="Times New Roman" w:hAnsi="Arial" w:cs="Arial"/>
                <w:strike/>
              </w:rPr>
            </w:pPr>
            <w:r w:rsidRPr="00855607">
              <w:rPr>
                <w:rFonts w:ascii="Arial" w:eastAsia="Times New Roman" w:hAnsi="Arial" w:cs="Calibri"/>
                <w:lang w:eastAsia="en-GB"/>
              </w:rPr>
              <w:t xml:space="preserve">Non – aggregated data from SMR06 SCORATES was received from Public Health Scotland identifying teenagers and young adults who died from January 2014 to December 2019. </w:t>
            </w:r>
          </w:p>
          <w:p w14:paraId="51DB04B9" w14:textId="77777777" w:rsidR="00855607" w:rsidRPr="00855607" w:rsidRDefault="00855607" w:rsidP="00855607">
            <w:pPr>
              <w:tabs>
                <w:tab w:val="left" w:pos="720"/>
                <w:tab w:val="left" w:pos="1440"/>
                <w:tab w:val="left" w:pos="2160"/>
                <w:tab w:val="left" w:pos="2880"/>
                <w:tab w:val="left" w:pos="4680"/>
                <w:tab w:val="left" w:pos="5400"/>
                <w:tab w:val="right" w:pos="9000"/>
              </w:tabs>
              <w:jc w:val="both"/>
              <w:rPr>
                <w:rFonts w:ascii="Arial" w:eastAsia="Times New Roman" w:hAnsi="Arial" w:cs="Arial"/>
                <w:strike/>
              </w:rPr>
            </w:pPr>
          </w:p>
          <w:p w14:paraId="5A510D30"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Data collected: place of death, place of choice of death if recorded, cause of death, anticipatory care plan completed, referral to palliative care, treatment information, bereavement support and diagnosis. </w:t>
            </w:r>
          </w:p>
          <w:p w14:paraId="7273DE6C"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p>
          <w:p w14:paraId="6228DC54"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Data processing was not completed. </w:t>
            </w:r>
          </w:p>
          <w:p w14:paraId="54996F89"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Data was as expected. </w:t>
            </w:r>
          </w:p>
        </w:tc>
      </w:tr>
      <w:tr w:rsidR="00855607" w:rsidRPr="00855607" w14:paraId="16463161" w14:textId="77777777" w:rsidTr="00570361">
        <w:trPr>
          <w:trHeight w:hRule="exact" w:val="567"/>
        </w:trPr>
        <w:tc>
          <w:tcPr>
            <w:tcW w:w="188" w:type="pct"/>
            <w:shd w:val="clear" w:color="auto" w:fill="B8CCE4" w:themeFill="accent1" w:themeFillTint="66"/>
            <w:vAlign w:val="center"/>
          </w:tcPr>
          <w:p w14:paraId="70BC2355"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4</w:t>
            </w:r>
          </w:p>
        </w:tc>
        <w:tc>
          <w:tcPr>
            <w:tcW w:w="1863" w:type="pct"/>
            <w:shd w:val="clear" w:color="auto" w:fill="B8CCE4" w:themeFill="accent1" w:themeFillTint="66"/>
            <w:vAlign w:val="center"/>
          </w:tcPr>
          <w:p w14:paraId="7CA45548"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768B074" w14:textId="77777777" w:rsidR="00855607" w:rsidRPr="00855607" w:rsidRDefault="00855607" w:rsidP="00855607">
            <w:pPr>
              <w:ind w:left="360"/>
              <w:jc w:val="both"/>
              <w:rPr>
                <w:rFonts w:ascii="Arial" w:eastAsia="Times New Roman" w:hAnsi="Arial" w:cs="Arial"/>
                <w:lang w:eastAsia="en-GB"/>
              </w:rPr>
            </w:pPr>
          </w:p>
        </w:tc>
      </w:tr>
      <w:tr w:rsidR="00855607" w:rsidRPr="00855607" w14:paraId="6D6CC62E" w14:textId="77777777" w:rsidTr="00570361">
        <w:trPr>
          <w:trHeight w:val="278"/>
        </w:trPr>
        <w:tc>
          <w:tcPr>
            <w:tcW w:w="188" w:type="pct"/>
            <w:vMerge w:val="restart"/>
            <w:vAlign w:val="center"/>
          </w:tcPr>
          <w:p w14:paraId="1DE1048C"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5C782C13"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How did you collect the data?</w:t>
            </w:r>
          </w:p>
        </w:tc>
        <w:tc>
          <w:tcPr>
            <w:tcW w:w="2949" w:type="pct"/>
            <w:vAlign w:val="center"/>
          </w:tcPr>
          <w:p w14:paraId="093FBE1B"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Data was collected from Patient electronic records</w:t>
            </w:r>
          </w:p>
        </w:tc>
      </w:tr>
      <w:tr w:rsidR="00855607" w:rsidRPr="00855607" w14:paraId="19A9C516" w14:textId="77777777" w:rsidTr="00570361">
        <w:trPr>
          <w:trHeight w:hRule="exact" w:val="419"/>
        </w:trPr>
        <w:tc>
          <w:tcPr>
            <w:tcW w:w="188" w:type="pct"/>
            <w:vMerge/>
            <w:vAlign w:val="center"/>
          </w:tcPr>
          <w:p w14:paraId="00FBD1A5"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57A64F07"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 xml:space="preserve">How did you process the data? </w:t>
            </w:r>
          </w:p>
          <w:p w14:paraId="2232A034" w14:textId="77777777" w:rsidR="00855607" w:rsidRPr="00855607" w:rsidRDefault="00855607" w:rsidP="00855607">
            <w:pPr>
              <w:ind w:left="20"/>
              <w:rPr>
                <w:rFonts w:ascii="Arial" w:eastAsia="Times New Roman" w:hAnsi="Arial" w:cs="Arial"/>
                <w:lang w:eastAsia="en-GB"/>
              </w:rPr>
            </w:pPr>
          </w:p>
        </w:tc>
        <w:tc>
          <w:tcPr>
            <w:tcW w:w="2949" w:type="pct"/>
            <w:vAlign w:val="center"/>
          </w:tcPr>
          <w:p w14:paraId="0B38B5F9"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The data was not processed</w:t>
            </w:r>
          </w:p>
        </w:tc>
      </w:tr>
      <w:tr w:rsidR="00855607" w:rsidRPr="00855607" w14:paraId="6CCBED8E" w14:textId="77777777" w:rsidTr="00570361">
        <w:trPr>
          <w:trHeight w:hRule="exact" w:val="567"/>
        </w:trPr>
        <w:tc>
          <w:tcPr>
            <w:tcW w:w="188" w:type="pct"/>
            <w:vMerge/>
            <w:vAlign w:val="center"/>
          </w:tcPr>
          <w:p w14:paraId="20FA963D"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4862734F"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How did you provision/publish the information?</w:t>
            </w:r>
          </w:p>
        </w:tc>
        <w:tc>
          <w:tcPr>
            <w:tcW w:w="2949" w:type="pct"/>
            <w:vAlign w:val="center"/>
          </w:tcPr>
          <w:p w14:paraId="03EE6CAD"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No publications have been produced</w:t>
            </w:r>
          </w:p>
        </w:tc>
      </w:tr>
      <w:tr w:rsidR="00855607" w:rsidRPr="00855607" w14:paraId="2B2DFE54" w14:textId="77777777" w:rsidTr="00570361">
        <w:trPr>
          <w:trHeight w:hRule="exact" w:val="1754"/>
        </w:trPr>
        <w:tc>
          <w:tcPr>
            <w:tcW w:w="188" w:type="pct"/>
            <w:vMerge/>
            <w:vAlign w:val="center"/>
          </w:tcPr>
          <w:p w14:paraId="66655014"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57BDF3E5"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Did your study scope change from its original aims? Please give brief details.</w:t>
            </w:r>
          </w:p>
          <w:p w14:paraId="2D426FDC" w14:textId="77777777" w:rsidR="00855607" w:rsidRPr="00855607" w:rsidRDefault="00855607" w:rsidP="00855607">
            <w:pPr>
              <w:ind w:left="20"/>
              <w:rPr>
                <w:rFonts w:ascii="Arial" w:eastAsia="Times New Roman" w:hAnsi="Arial" w:cs="Arial"/>
                <w:lang w:eastAsia="en-GB"/>
              </w:rPr>
            </w:pPr>
          </w:p>
        </w:tc>
        <w:tc>
          <w:tcPr>
            <w:tcW w:w="2949" w:type="pct"/>
            <w:vAlign w:val="center"/>
          </w:tcPr>
          <w:p w14:paraId="68CA1254" w14:textId="77777777" w:rsidR="00855607" w:rsidRPr="00855607" w:rsidRDefault="00855607" w:rsidP="00855607">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855607">
              <w:rPr>
                <w:rFonts w:ascii="Arial" w:eastAsia="Times New Roman" w:hAnsi="Arial" w:cs="Arial"/>
                <w:lang w:eastAsia="en-GB"/>
              </w:rPr>
              <w:t xml:space="preserve">An amendment application was submitted to PBPP to add collection of high intensity treatment variable and include data transfer to Martin House Research Centre, University of York. Approval was not given for this. </w:t>
            </w:r>
          </w:p>
        </w:tc>
      </w:tr>
      <w:tr w:rsidR="00855607" w:rsidRPr="00855607" w14:paraId="40C4E68C" w14:textId="77777777" w:rsidTr="00570361">
        <w:trPr>
          <w:trHeight w:hRule="exact" w:val="567"/>
        </w:trPr>
        <w:tc>
          <w:tcPr>
            <w:tcW w:w="188" w:type="pct"/>
            <w:shd w:val="clear" w:color="auto" w:fill="B8CCE4" w:themeFill="accent1" w:themeFillTint="66"/>
            <w:vAlign w:val="center"/>
          </w:tcPr>
          <w:p w14:paraId="1E829FE1"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5</w:t>
            </w:r>
          </w:p>
        </w:tc>
        <w:tc>
          <w:tcPr>
            <w:tcW w:w="1863" w:type="pct"/>
            <w:shd w:val="clear" w:color="auto" w:fill="B8CCE4" w:themeFill="accent1" w:themeFillTint="66"/>
            <w:vAlign w:val="center"/>
          </w:tcPr>
          <w:p w14:paraId="143C3988"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6577D21F" w14:textId="77777777" w:rsidR="00855607" w:rsidRPr="00855607" w:rsidRDefault="00855607" w:rsidP="00855607">
            <w:pPr>
              <w:ind w:left="360"/>
              <w:jc w:val="both"/>
              <w:rPr>
                <w:rFonts w:ascii="Arial" w:eastAsia="Times New Roman" w:hAnsi="Arial" w:cs="Arial"/>
                <w:lang w:eastAsia="en-GB"/>
              </w:rPr>
            </w:pPr>
          </w:p>
        </w:tc>
      </w:tr>
      <w:tr w:rsidR="00855607" w:rsidRPr="00855607" w14:paraId="7B1092F0" w14:textId="77777777" w:rsidTr="00570361">
        <w:trPr>
          <w:trHeight w:val="1060"/>
        </w:trPr>
        <w:tc>
          <w:tcPr>
            <w:tcW w:w="188" w:type="pct"/>
            <w:tcBorders>
              <w:bottom w:val="single" w:sz="4" w:space="0" w:color="auto"/>
            </w:tcBorders>
            <w:vAlign w:val="center"/>
          </w:tcPr>
          <w:p w14:paraId="5CCD694A" w14:textId="77777777" w:rsidR="00855607" w:rsidRPr="00855607" w:rsidRDefault="00855607" w:rsidP="00855607">
            <w:pPr>
              <w:jc w:val="both"/>
              <w:rPr>
                <w:rFonts w:ascii="Arial" w:eastAsia="Times New Roman" w:hAnsi="Arial" w:cs="Arial"/>
                <w:lang w:eastAsia="en-GB"/>
              </w:rPr>
            </w:pPr>
          </w:p>
        </w:tc>
        <w:tc>
          <w:tcPr>
            <w:tcW w:w="1863" w:type="pct"/>
            <w:tcBorders>
              <w:bottom w:val="single" w:sz="4" w:space="0" w:color="auto"/>
            </w:tcBorders>
            <w:vAlign w:val="center"/>
          </w:tcPr>
          <w:p w14:paraId="4F4D3351"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5FB698CB"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 xml:space="preserve">No results cannot be defined as the audit is incomplete. </w:t>
            </w:r>
          </w:p>
        </w:tc>
      </w:tr>
      <w:tr w:rsidR="00855607" w:rsidRPr="00855607" w14:paraId="18685E37" w14:textId="77777777" w:rsidTr="00570361">
        <w:trPr>
          <w:trHeight w:hRule="exact" w:val="567"/>
        </w:trPr>
        <w:tc>
          <w:tcPr>
            <w:tcW w:w="188" w:type="pct"/>
            <w:shd w:val="clear" w:color="auto" w:fill="B8CCE4" w:themeFill="accent1" w:themeFillTint="66"/>
            <w:vAlign w:val="center"/>
          </w:tcPr>
          <w:p w14:paraId="45E1F04E" w14:textId="77777777" w:rsidR="00855607" w:rsidRPr="00855607" w:rsidRDefault="00855607" w:rsidP="00855607">
            <w:pPr>
              <w:jc w:val="both"/>
              <w:rPr>
                <w:rFonts w:ascii="Arial" w:eastAsia="Times New Roman" w:hAnsi="Arial" w:cs="Arial"/>
                <w:lang w:eastAsia="en-GB"/>
              </w:rPr>
            </w:pPr>
            <w:r w:rsidRPr="00855607">
              <w:rPr>
                <w:rFonts w:ascii="Arial" w:eastAsia="Times New Roman" w:hAnsi="Arial" w:cs="Arial"/>
                <w:lang w:eastAsia="en-GB"/>
              </w:rPr>
              <w:t>6</w:t>
            </w:r>
          </w:p>
        </w:tc>
        <w:tc>
          <w:tcPr>
            <w:tcW w:w="1863" w:type="pct"/>
            <w:shd w:val="clear" w:color="auto" w:fill="B8CCE4" w:themeFill="accent1" w:themeFillTint="66"/>
            <w:vAlign w:val="center"/>
          </w:tcPr>
          <w:p w14:paraId="07CCC891" w14:textId="77777777" w:rsidR="00855607" w:rsidRPr="00855607" w:rsidRDefault="00855607" w:rsidP="00855607">
            <w:pPr>
              <w:ind w:left="20"/>
              <w:jc w:val="both"/>
              <w:rPr>
                <w:rFonts w:ascii="Arial" w:eastAsia="Times New Roman" w:hAnsi="Arial" w:cs="Arial"/>
                <w:b/>
                <w:lang w:eastAsia="en-GB"/>
              </w:rPr>
            </w:pPr>
            <w:r w:rsidRPr="00855607">
              <w:rPr>
                <w:rFonts w:ascii="Arial" w:eastAsia="Times New Roman" w:hAnsi="Arial" w:cs="Arial"/>
                <w:b/>
                <w:lang w:eastAsia="en-GB"/>
              </w:rPr>
              <w:t>Future Questions:</w:t>
            </w:r>
          </w:p>
        </w:tc>
        <w:tc>
          <w:tcPr>
            <w:tcW w:w="2949" w:type="pct"/>
            <w:shd w:val="clear" w:color="auto" w:fill="B8CCE4" w:themeFill="accent1" w:themeFillTint="66"/>
            <w:vAlign w:val="center"/>
          </w:tcPr>
          <w:p w14:paraId="56370930" w14:textId="77777777" w:rsidR="00855607" w:rsidRPr="00855607" w:rsidRDefault="00855607" w:rsidP="00855607">
            <w:pPr>
              <w:ind w:left="360"/>
              <w:jc w:val="both"/>
              <w:rPr>
                <w:rFonts w:ascii="Arial" w:eastAsia="Times New Roman" w:hAnsi="Arial" w:cs="Arial"/>
                <w:lang w:eastAsia="en-GB"/>
              </w:rPr>
            </w:pPr>
          </w:p>
        </w:tc>
      </w:tr>
      <w:tr w:rsidR="00855607" w:rsidRPr="00855607" w14:paraId="2B09C42B" w14:textId="77777777" w:rsidTr="00570361">
        <w:trPr>
          <w:trHeight w:val="1342"/>
        </w:trPr>
        <w:tc>
          <w:tcPr>
            <w:tcW w:w="188" w:type="pct"/>
            <w:vAlign w:val="center"/>
          </w:tcPr>
          <w:p w14:paraId="76F32D68" w14:textId="77777777" w:rsidR="00855607" w:rsidRPr="00855607" w:rsidRDefault="00855607" w:rsidP="00855607">
            <w:pPr>
              <w:jc w:val="both"/>
              <w:rPr>
                <w:rFonts w:ascii="Arial" w:eastAsia="Times New Roman" w:hAnsi="Arial" w:cs="Arial"/>
                <w:lang w:eastAsia="en-GB"/>
              </w:rPr>
            </w:pPr>
          </w:p>
        </w:tc>
        <w:tc>
          <w:tcPr>
            <w:tcW w:w="1863" w:type="pct"/>
            <w:vAlign w:val="center"/>
          </w:tcPr>
          <w:p w14:paraId="6A21EF48" w14:textId="77777777" w:rsidR="00855607" w:rsidRPr="00855607" w:rsidRDefault="00855607" w:rsidP="00855607">
            <w:pPr>
              <w:ind w:left="20"/>
              <w:rPr>
                <w:rFonts w:ascii="Arial" w:eastAsia="Times New Roman" w:hAnsi="Arial" w:cs="Arial"/>
                <w:lang w:eastAsia="en-GB"/>
              </w:rPr>
            </w:pPr>
            <w:r w:rsidRPr="00855607">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32E58AC7" w14:textId="77777777" w:rsidR="00855607" w:rsidRPr="00855607" w:rsidRDefault="00855607" w:rsidP="00855607">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855607">
              <w:rPr>
                <w:rFonts w:ascii="Arial" w:eastAsia="Times New Roman" w:hAnsi="Arial" w:cs="Arial"/>
                <w:lang w:eastAsia="en-GB"/>
              </w:rPr>
              <w:t>No</w:t>
            </w:r>
          </w:p>
        </w:tc>
      </w:tr>
    </w:tbl>
    <w:p w14:paraId="30B7713A" w14:textId="77777777" w:rsidR="00855607" w:rsidRPr="00855607" w:rsidRDefault="00855607" w:rsidP="00855607">
      <w:pPr>
        <w:spacing w:after="0" w:line="240" w:lineRule="auto"/>
        <w:ind w:left="-851"/>
        <w:jc w:val="both"/>
        <w:rPr>
          <w:rFonts w:ascii="Arial" w:eastAsia="Times New Roman" w:hAnsi="Arial" w:cs="Arial"/>
          <w:lang w:eastAsia="en-GB"/>
        </w:rPr>
      </w:pPr>
    </w:p>
    <w:p w14:paraId="1A67A0EE" w14:textId="77777777" w:rsidR="004B53D4" w:rsidRDefault="004B53D4" w:rsidP="004B53D4">
      <w:pPr>
        <w:pStyle w:val="NoSpacing"/>
        <w:rPr>
          <w:b/>
          <w:sz w:val="24"/>
          <w:szCs w:val="24"/>
        </w:rPr>
      </w:pPr>
    </w:p>
    <w:p w14:paraId="799C71FB" w14:textId="77777777" w:rsidR="004B53D4" w:rsidRDefault="004B53D4" w:rsidP="004B53D4"/>
    <w:p w14:paraId="4796062A" w14:textId="77777777" w:rsidR="004B53D4" w:rsidRDefault="004B53D4" w:rsidP="004B53D4"/>
    <w:p w14:paraId="4D72FCEB" w14:textId="77777777" w:rsidR="00772F4D" w:rsidRDefault="00772F4D" w:rsidP="004B53D4"/>
    <w:p w14:paraId="0854FA74" w14:textId="77777777" w:rsidR="000313CE" w:rsidRDefault="000313CE" w:rsidP="004B53D4"/>
    <w:p w14:paraId="36EDE76E" w14:textId="77777777" w:rsidR="000313CE" w:rsidRDefault="000313CE" w:rsidP="004B53D4"/>
    <w:p w14:paraId="10810CF7" w14:textId="77777777" w:rsidR="000313CE" w:rsidRDefault="000313CE" w:rsidP="000313CE">
      <w:pPr>
        <w:pStyle w:val="Heading2"/>
      </w:pPr>
      <w:bookmarkStart w:id="26" w:name="_1920-0121"/>
      <w:bookmarkEnd w:id="26"/>
      <w:r>
        <w:t>1920-0121</w:t>
      </w:r>
      <w:r>
        <w:tab/>
      </w:r>
    </w:p>
    <w:p w14:paraId="365A7467" w14:textId="1F1F7BB5" w:rsidR="000313CE" w:rsidRPr="000313CE" w:rsidRDefault="000313CE" w:rsidP="000313CE">
      <w:pPr>
        <w:rPr>
          <w:rFonts w:eastAsia="Times New Roman" w:cstheme="minorHAnsi"/>
          <w:b/>
          <w:bCs/>
          <w:sz w:val="24"/>
          <w:szCs w:val="24"/>
        </w:rPr>
      </w:pPr>
      <w:r w:rsidRPr="000313CE">
        <w:rPr>
          <w:rFonts w:eastAsia="Times New Roman" w:cstheme="minorHAnsi"/>
          <w:b/>
          <w:bCs/>
          <w:sz w:val="24"/>
          <w:szCs w:val="24"/>
        </w:rPr>
        <w:t>The Scottish Clinical Optometry and Ophthalmology Network e-research (SCONe) project – proof of concept</w:t>
      </w:r>
    </w:p>
    <w:p w14:paraId="547F2D2F" w14:textId="77777777" w:rsidR="000313CE" w:rsidRDefault="000313CE" w:rsidP="000313CE">
      <w:pPr>
        <w:rPr>
          <w:rFonts w:eastAsia="Times New Roman" w:cstheme="minorHAnsi"/>
          <w:b/>
          <w:bCs/>
          <w:sz w:val="24"/>
          <w:szCs w:val="24"/>
        </w:rPr>
      </w:pPr>
      <w:r w:rsidRPr="00823B34">
        <w:rPr>
          <w:rFonts w:eastAsia="Times New Roman" w:cstheme="minorHAnsi"/>
          <w:b/>
          <w:bCs/>
          <w:sz w:val="24"/>
          <w:szCs w:val="24"/>
        </w:rPr>
        <w:t>End of Project Report</w:t>
      </w:r>
    </w:p>
    <w:p w14:paraId="1032CA42" w14:textId="77777777" w:rsidR="000313CE" w:rsidRPr="000313CE" w:rsidRDefault="000313CE" w:rsidP="000313CE">
      <w:pPr>
        <w:spacing w:after="120" w:line="240" w:lineRule="auto"/>
        <w:jc w:val="center"/>
        <w:rPr>
          <w:rFonts w:ascii="Arial" w:hAnsi="Arial" w:cs="Arial"/>
          <w:b/>
        </w:rPr>
      </w:pPr>
      <w:r w:rsidRPr="000313CE">
        <w:rPr>
          <w:rFonts w:ascii="Arial" w:hAnsi="Arial" w:cs="Arial"/>
          <w:b/>
        </w:rPr>
        <w:t>The Public Benefit Impact Summary</w:t>
      </w:r>
    </w:p>
    <w:tbl>
      <w:tblPr>
        <w:tblStyle w:val="TableGrid"/>
        <w:tblW w:w="5000" w:type="pct"/>
        <w:tblLook w:val="04A0" w:firstRow="1" w:lastRow="0" w:firstColumn="1" w:lastColumn="0" w:noHBand="0" w:noVBand="1"/>
      </w:tblPr>
      <w:tblGrid>
        <w:gridCol w:w="342"/>
        <w:gridCol w:w="1438"/>
        <w:gridCol w:w="62"/>
        <w:gridCol w:w="140"/>
        <w:gridCol w:w="144"/>
        <w:gridCol w:w="6890"/>
      </w:tblGrid>
      <w:tr w:rsidR="000313CE" w:rsidRPr="000313CE" w14:paraId="104E98D7" w14:textId="77777777" w:rsidTr="000313CE">
        <w:trPr>
          <w:trHeight w:hRule="exact" w:val="567"/>
        </w:trPr>
        <w:tc>
          <w:tcPr>
            <w:tcW w:w="190" w:type="pct"/>
            <w:shd w:val="clear" w:color="auto" w:fill="B8CCE4" w:themeFill="accent1" w:themeFillTint="66"/>
            <w:vAlign w:val="center"/>
          </w:tcPr>
          <w:p w14:paraId="0785F8B5"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1</w:t>
            </w:r>
          </w:p>
        </w:tc>
        <w:tc>
          <w:tcPr>
            <w:tcW w:w="831" w:type="pct"/>
            <w:gridSpan w:val="2"/>
            <w:shd w:val="clear" w:color="auto" w:fill="B8CCE4" w:themeFill="accent1" w:themeFillTint="66"/>
            <w:vAlign w:val="center"/>
          </w:tcPr>
          <w:p w14:paraId="39A2EA1B"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Aims</w:t>
            </w:r>
          </w:p>
        </w:tc>
        <w:tc>
          <w:tcPr>
            <w:tcW w:w="3979" w:type="pct"/>
            <w:gridSpan w:val="3"/>
            <w:shd w:val="clear" w:color="auto" w:fill="B8CCE4" w:themeFill="accent1" w:themeFillTint="66"/>
            <w:vAlign w:val="center"/>
          </w:tcPr>
          <w:p w14:paraId="39FBEA0C"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3684F04F" w14:textId="77777777" w:rsidTr="000313CE">
        <w:trPr>
          <w:trHeight w:hRule="exact" w:val="4444"/>
        </w:trPr>
        <w:tc>
          <w:tcPr>
            <w:tcW w:w="190" w:type="pct"/>
            <w:tcBorders>
              <w:bottom w:val="single" w:sz="4" w:space="0" w:color="auto"/>
            </w:tcBorders>
            <w:vAlign w:val="center"/>
          </w:tcPr>
          <w:p w14:paraId="324A38B6" w14:textId="77777777" w:rsidR="000313CE" w:rsidRPr="000313CE" w:rsidRDefault="000313CE" w:rsidP="000313CE">
            <w:pPr>
              <w:spacing w:after="120"/>
              <w:jc w:val="both"/>
              <w:rPr>
                <w:rFonts w:ascii="Arial" w:eastAsia="Times New Roman" w:hAnsi="Arial" w:cs="Arial"/>
                <w:lang w:eastAsia="en-GB"/>
              </w:rPr>
            </w:pPr>
          </w:p>
        </w:tc>
        <w:tc>
          <w:tcPr>
            <w:tcW w:w="831" w:type="pct"/>
            <w:gridSpan w:val="2"/>
            <w:tcBorders>
              <w:bottom w:val="single" w:sz="4" w:space="0" w:color="auto"/>
            </w:tcBorders>
            <w:vAlign w:val="center"/>
          </w:tcPr>
          <w:p w14:paraId="646E7854"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What did the study set out to achieve?</w:t>
            </w:r>
          </w:p>
        </w:tc>
        <w:tc>
          <w:tcPr>
            <w:tcW w:w="3979" w:type="pct"/>
            <w:gridSpan w:val="3"/>
            <w:tcBorders>
              <w:bottom w:val="single" w:sz="4" w:space="0" w:color="auto"/>
            </w:tcBorders>
            <w:vAlign w:val="center"/>
          </w:tcPr>
          <w:p w14:paraId="7D0B2307"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Our goal was to create a retinal image repository from community-acquired fundus photographs linked to healthcare data. </w:t>
            </w:r>
          </w:p>
          <w:p w14:paraId="2F4BAEB1"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During this project we aimed to:</w:t>
            </w:r>
          </w:p>
          <w:p w14:paraId="05798C8E"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test the proof of this concept (PoC) in partnership with one chain and a group of independent community optometrists who have engaged with our project and volunteered to help pioneer its development</w:t>
            </w:r>
          </w:p>
          <w:p w14:paraId="2311C54E"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establish data sharing agreements with these providers for fundus photographs for people aged 60+</w:t>
            </w:r>
          </w:p>
          <w:p w14:paraId="7BCB1122"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 xml:space="preserve">facilitate linkage of each fundus photograph by eDRIS via CHI (or a combination of personal identifiers) to routinely collected healthcare records in GOS1 (eye examinations carried out in the community) and SMR01 (hospital day case and inpatient discharges). </w:t>
            </w:r>
          </w:p>
          <w:p w14:paraId="385D305A"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demonstrate the potential of linked data as a research resource by undertaking a range of analytical projects</w:t>
            </w:r>
          </w:p>
          <w:p w14:paraId="6A14AEDB" w14:textId="77777777" w:rsidR="000313CE" w:rsidRPr="000313CE" w:rsidRDefault="000313CE" w:rsidP="000313CE">
            <w:pPr>
              <w:numPr>
                <w:ilvl w:val="0"/>
                <w:numId w:val="29"/>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share the results with stakeholders and based on what is learned seek resources for expansion of the project both in terms of longevity and population coverage.</w:t>
            </w:r>
          </w:p>
        </w:tc>
      </w:tr>
      <w:tr w:rsidR="000313CE" w:rsidRPr="000313CE" w14:paraId="2CD9B43C" w14:textId="77777777" w:rsidTr="000313CE">
        <w:trPr>
          <w:trHeight w:hRule="exact" w:val="567"/>
        </w:trPr>
        <w:tc>
          <w:tcPr>
            <w:tcW w:w="190" w:type="pct"/>
            <w:shd w:val="clear" w:color="auto" w:fill="B8CCE4" w:themeFill="accent1" w:themeFillTint="66"/>
            <w:vAlign w:val="center"/>
          </w:tcPr>
          <w:p w14:paraId="5641AAF1"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2</w:t>
            </w:r>
          </w:p>
        </w:tc>
        <w:tc>
          <w:tcPr>
            <w:tcW w:w="909" w:type="pct"/>
            <w:gridSpan w:val="3"/>
            <w:shd w:val="clear" w:color="auto" w:fill="B8CCE4" w:themeFill="accent1" w:themeFillTint="66"/>
            <w:vAlign w:val="center"/>
          </w:tcPr>
          <w:p w14:paraId="57DC9204" w14:textId="42A759A6" w:rsid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Public Benefit mpact</w:t>
            </w:r>
          </w:p>
          <w:p w14:paraId="3047C767" w14:textId="77777777" w:rsidR="000313CE" w:rsidRPr="000313CE" w:rsidRDefault="000313CE" w:rsidP="000313CE">
            <w:pPr>
              <w:spacing w:after="120"/>
              <w:ind w:left="20"/>
              <w:jc w:val="both"/>
              <w:rPr>
                <w:rFonts w:ascii="Arial" w:eastAsia="Times New Roman" w:hAnsi="Arial" w:cs="Arial"/>
                <w:b/>
                <w:lang w:eastAsia="en-GB"/>
              </w:rPr>
            </w:pPr>
          </w:p>
        </w:tc>
        <w:tc>
          <w:tcPr>
            <w:tcW w:w="3901" w:type="pct"/>
            <w:gridSpan w:val="2"/>
            <w:shd w:val="clear" w:color="auto" w:fill="B8CCE4" w:themeFill="accent1" w:themeFillTint="66"/>
            <w:vAlign w:val="center"/>
          </w:tcPr>
          <w:p w14:paraId="4CB98AD1" w14:textId="77777777" w:rsidR="000313CE" w:rsidRPr="000313CE" w:rsidRDefault="000313CE" w:rsidP="000313CE">
            <w:pPr>
              <w:spacing w:after="120"/>
              <w:ind w:left="360"/>
              <w:jc w:val="both"/>
              <w:rPr>
                <w:rFonts w:ascii="Arial" w:eastAsia="Times New Roman" w:hAnsi="Arial" w:cs="Arial"/>
                <w:lang w:eastAsia="en-GB"/>
              </w:rPr>
            </w:pPr>
          </w:p>
          <w:p w14:paraId="050F49F3" w14:textId="77777777" w:rsidR="000313CE" w:rsidRPr="000313CE" w:rsidRDefault="000313CE" w:rsidP="000313CE">
            <w:pPr>
              <w:spacing w:after="120"/>
              <w:rPr>
                <w:rFonts w:ascii="Arial" w:eastAsia="Times New Roman" w:hAnsi="Arial" w:cs="Arial"/>
                <w:lang w:eastAsia="en-GB"/>
              </w:rPr>
            </w:pPr>
          </w:p>
          <w:p w14:paraId="36949079" w14:textId="77777777" w:rsidR="000313CE" w:rsidRPr="000313CE" w:rsidRDefault="000313CE" w:rsidP="000313CE">
            <w:pPr>
              <w:spacing w:after="120"/>
              <w:rPr>
                <w:rFonts w:ascii="Arial" w:eastAsia="Times New Roman" w:hAnsi="Arial" w:cs="Arial"/>
                <w:lang w:eastAsia="en-GB"/>
              </w:rPr>
            </w:pPr>
          </w:p>
          <w:p w14:paraId="7C773756" w14:textId="77777777" w:rsidR="000313CE" w:rsidRPr="000313CE" w:rsidRDefault="000313CE" w:rsidP="000313CE">
            <w:pPr>
              <w:spacing w:after="120"/>
              <w:rPr>
                <w:rFonts w:ascii="Arial" w:eastAsia="Times New Roman" w:hAnsi="Arial" w:cs="Arial"/>
                <w:lang w:eastAsia="en-GB"/>
              </w:rPr>
            </w:pPr>
          </w:p>
          <w:p w14:paraId="0492E617" w14:textId="77777777" w:rsidR="000313CE" w:rsidRPr="000313CE" w:rsidRDefault="000313CE" w:rsidP="000313CE">
            <w:pPr>
              <w:spacing w:after="120"/>
              <w:rPr>
                <w:rFonts w:ascii="Arial" w:eastAsia="Times New Roman" w:hAnsi="Arial" w:cs="Arial"/>
                <w:lang w:eastAsia="en-GB"/>
              </w:rPr>
            </w:pPr>
          </w:p>
          <w:p w14:paraId="1291BFF9" w14:textId="77777777" w:rsidR="000313CE" w:rsidRPr="000313CE" w:rsidRDefault="000313CE" w:rsidP="000313CE">
            <w:pPr>
              <w:spacing w:after="120"/>
              <w:rPr>
                <w:rFonts w:ascii="Arial" w:eastAsia="Times New Roman" w:hAnsi="Arial" w:cs="Arial"/>
                <w:lang w:eastAsia="en-GB"/>
              </w:rPr>
            </w:pPr>
          </w:p>
          <w:p w14:paraId="7C7E6F19" w14:textId="77777777" w:rsidR="000313CE" w:rsidRPr="000313CE" w:rsidRDefault="000313CE" w:rsidP="000313CE">
            <w:pPr>
              <w:spacing w:after="120"/>
              <w:rPr>
                <w:rFonts w:ascii="Arial" w:eastAsia="Times New Roman" w:hAnsi="Arial" w:cs="Arial"/>
                <w:lang w:eastAsia="en-GB"/>
              </w:rPr>
            </w:pPr>
          </w:p>
          <w:p w14:paraId="19790267" w14:textId="77777777" w:rsidR="000313CE" w:rsidRPr="000313CE" w:rsidRDefault="000313CE" w:rsidP="000313CE">
            <w:pPr>
              <w:spacing w:after="120"/>
              <w:rPr>
                <w:rFonts w:ascii="Arial" w:eastAsia="Times New Roman" w:hAnsi="Arial" w:cs="Arial"/>
                <w:lang w:eastAsia="en-GB"/>
              </w:rPr>
            </w:pPr>
          </w:p>
          <w:p w14:paraId="525DE7AF" w14:textId="77777777" w:rsidR="000313CE" w:rsidRPr="000313CE" w:rsidRDefault="000313CE" w:rsidP="000313CE">
            <w:pPr>
              <w:spacing w:after="120"/>
              <w:rPr>
                <w:rFonts w:ascii="Arial" w:eastAsia="Times New Roman" w:hAnsi="Arial" w:cs="Arial"/>
                <w:lang w:eastAsia="en-GB"/>
              </w:rPr>
            </w:pPr>
          </w:p>
          <w:p w14:paraId="778DFC3D" w14:textId="77777777" w:rsidR="000313CE" w:rsidRPr="000313CE" w:rsidRDefault="000313CE" w:rsidP="000313CE">
            <w:pPr>
              <w:spacing w:after="120"/>
              <w:rPr>
                <w:rFonts w:ascii="Arial" w:eastAsia="Times New Roman" w:hAnsi="Arial" w:cs="Arial"/>
                <w:lang w:eastAsia="en-GB"/>
              </w:rPr>
            </w:pPr>
          </w:p>
          <w:p w14:paraId="1D129DEF" w14:textId="77777777" w:rsidR="000313CE" w:rsidRPr="000313CE" w:rsidRDefault="000313CE" w:rsidP="000313CE">
            <w:pPr>
              <w:spacing w:after="120"/>
              <w:rPr>
                <w:rFonts w:ascii="Arial" w:eastAsia="Times New Roman" w:hAnsi="Arial" w:cs="Arial"/>
                <w:lang w:eastAsia="en-GB"/>
              </w:rPr>
            </w:pPr>
          </w:p>
          <w:p w14:paraId="6E419158" w14:textId="77777777" w:rsidR="000313CE" w:rsidRPr="000313CE" w:rsidRDefault="000313CE" w:rsidP="000313CE">
            <w:pPr>
              <w:spacing w:after="120"/>
              <w:rPr>
                <w:rFonts w:ascii="Arial" w:eastAsia="Times New Roman" w:hAnsi="Arial" w:cs="Arial"/>
                <w:lang w:eastAsia="en-GB"/>
              </w:rPr>
            </w:pPr>
          </w:p>
          <w:p w14:paraId="6471CDA9" w14:textId="77777777" w:rsidR="000313CE" w:rsidRPr="000313CE" w:rsidRDefault="000313CE" w:rsidP="000313CE">
            <w:pPr>
              <w:spacing w:after="120"/>
              <w:rPr>
                <w:rFonts w:ascii="Arial" w:eastAsia="Times New Roman" w:hAnsi="Arial" w:cs="Arial"/>
                <w:lang w:eastAsia="en-GB"/>
              </w:rPr>
            </w:pPr>
          </w:p>
          <w:p w14:paraId="7CEBAD6C" w14:textId="77777777" w:rsidR="000313CE" w:rsidRPr="000313CE" w:rsidRDefault="000313CE" w:rsidP="000313CE">
            <w:pPr>
              <w:spacing w:after="120"/>
              <w:rPr>
                <w:rFonts w:ascii="Arial" w:eastAsia="Times New Roman" w:hAnsi="Arial" w:cs="Arial"/>
                <w:lang w:eastAsia="en-GB"/>
              </w:rPr>
            </w:pPr>
          </w:p>
          <w:p w14:paraId="7869110D" w14:textId="77777777" w:rsidR="000313CE" w:rsidRPr="000313CE" w:rsidRDefault="000313CE" w:rsidP="000313CE">
            <w:pPr>
              <w:spacing w:after="120"/>
              <w:rPr>
                <w:rFonts w:ascii="Arial" w:eastAsia="Times New Roman" w:hAnsi="Arial" w:cs="Arial"/>
                <w:lang w:eastAsia="en-GB"/>
              </w:rPr>
            </w:pPr>
          </w:p>
          <w:p w14:paraId="71C013A2" w14:textId="77777777" w:rsidR="000313CE" w:rsidRPr="000313CE" w:rsidRDefault="000313CE" w:rsidP="000313CE">
            <w:pPr>
              <w:spacing w:after="120"/>
              <w:rPr>
                <w:rFonts w:ascii="Arial" w:eastAsia="Times New Roman" w:hAnsi="Arial" w:cs="Arial"/>
                <w:lang w:eastAsia="en-GB"/>
              </w:rPr>
            </w:pPr>
          </w:p>
          <w:p w14:paraId="70BE2E0D" w14:textId="77777777" w:rsidR="000313CE" w:rsidRPr="000313CE" w:rsidRDefault="000313CE" w:rsidP="000313CE">
            <w:pPr>
              <w:spacing w:after="120"/>
              <w:rPr>
                <w:rFonts w:ascii="Arial" w:eastAsia="Times New Roman" w:hAnsi="Arial" w:cs="Arial"/>
                <w:lang w:eastAsia="en-GB"/>
              </w:rPr>
            </w:pPr>
          </w:p>
          <w:p w14:paraId="4AF9A0D5" w14:textId="77777777" w:rsidR="000313CE" w:rsidRPr="000313CE" w:rsidRDefault="000313CE" w:rsidP="000313CE">
            <w:pPr>
              <w:spacing w:after="120"/>
              <w:rPr>
                <w:rFonts w:ascii="Arial" w:eastAsia="Times New Roman" w:hAnsi="Arial" w:cs="Arial"/>
                <w:lang w:eastAsia="en-GB"/>
              </w:rPr>
            </w:pPr>
          </w:p>
          <w:p w14:paraId="659BEBCF" w14:textId="77777777" w:rsidR="000313CE" w:rsidRPr="000313CE" w:rsidRDefault="000313CE" w:rsidP="000313CE">
            <w:pPr>
              <w:spacing w:after="120"/>
              <w:rPr>
                <w:rFonts w:ascii="Arial" w:eastAsia="Times New Roman" w:hAnsi="Arial" w:cs="Arial"/>
                <w:lang w:eastAsia="en-GB"/>
              </w:rPr>
            </w:pPr>
          </w:p>
          <w:p w14:paraId="29B25BA3" w14:textId="77777777" w:rsidR="000313CE" w:rsidRPr="000313CE" w:rsidRDefault="000313CE" w:rsidP="000313CE">
            <w:pPr>
              <w:spacing w:after="120"/>
              <w:rPr>
                <w:rFonts w:ascii="Arial" w:eastAsia="Times New Roman" w:hAnsi="Arial" w:cs="Arial"/>
                <w:lang w:eastAsia="en-GB"/>
              </w:rPr>
            </w:pPr>
          </w:p>
          <w:p w14:paraId="3A724439" w14:textId="77777777" w:rsidR="000313CE" w:rsidRPr="000313CE" w:rsidRDefault="000313CE" w:rsidP="000313CE">
            <w:pPr>
              <w:spacing w:after="120"/>
              <w:rPr>
                <w:rFonts w:ascii="Arial" w:eastAsia="Times New Roman" w:hAnsi="Arial" w:cs="Arial"/>
                <w:lang w:eastAsia="en-GB"/>
              </w:rPr>
            </w:pPr>
          </w:p>
          <w:p w14:paraId="4CB00789" w14:textId="77777777" w:rsidR="000313CE" w:rsidRPr="000313CE" w:rsidRDefault="000313CE" w:rsidP="000313CE">
            <w:pPr>
              <w:spacing w:after="120"/>
              <w:rPr>
                <w:rFonts w:ascii="Arial" w:eastAsia="Times New Roman" w:hAnsi="Arial" w:cs="Arial"/>
                <w:lang w:eastAsia="en-GB"/>
              </w:rPr>
            </w:pPr>
          </w:p>
          <w:p w14:paraId="181E01E4" w14:textId="77777777" w:rsidR="000313CE" w:rsidRPr="000313CE" w:rsidRDefault="000313CE" w:rsidP="000313CE">
            <w:pPr>
              <w:spacing w:after="120"/>
              <w:rPr>
                <w:rFonts w:ascii="Arial" w:eastAsia="Times New Roman" w:hAnsi="Arial" w:cs="Arial"/>
                <w:lang w:eastAsia="en-GB"/>
              </w:rPr>
            </w:pPr>
          </w:p>
          <w:p w14:paraId="523B499D" w14:textId="77777777" w:rsidR="000313CE" w:rsidRPr="000313CE" w:rsidRDefault="000313CE" w:rsidP="000313CE">
            <w:pPr>
              <w:spacing w:after="120"/>
              <w:rPr>
                <w:rFonts w:ascii="Arial" w:eastAsia="Times New Roman" w:hAnsi="Arial" w:cs="Arial"/>
                <w:lang w:eastAsia="en-GB"/>
              </w:rPr>
            </w:pPr>
          </w:p>
          <w:p w14:paraId="4783F84E" w14:textId="77777777" w:rsidR="000313CE" w:rsidRPr="000313CE" w:rsidRDefault="000313CE" w:rsidP="000313CE">
            <w:pPr>
              <w:spacing w:after="120"/>
              <w:rPr>
                <w:rFonts w:ascii="Arial" w:eastAsia="Times New Roman" w:hAnsi="Arial" w:cs="Arial"/>
                <w:lang w:eastAsia="en-GB"/>
              </w:rPr>
            </w:pPr>
          </w:p>
        </w:tc>
      </w:tr>
      <w:tr w:rsidR="000313CE" w:rsidRPr="000313CE" w14:paraId="26182891" w14:textId="77777777" w:rsidTr="000313CE">
        <w:trPr>
          <w:trHeight w:hRule="exact" w:val="6333"/>
        </w:trPr>
        <w:tc>
          <w:tcPr>
            <w:tcW w:w="190" w:type="pct"/>
            <w:tcBorders>
              <w:bottom w:val="single" w:sz="4" w:space="0" w:color="auto"/>
            </w:tcBorders>
            <w:vAlign w:val="center"/>
          </w:tcPr>
          <w:p w14:paraId="36E42ADA" w14:textId="77777777" w:rsidR="000313CE" w:rsidRPr="000313CE" w:rsidRDefault="000313CE" w:rsidP="000313CE">
            <w:pPr>
              <w:spacing w:after="120"/>
              <w:jc w:val="both"/>
              <w:rPr>
                <w:rFonts w:ascii="Arial" w:eastAsia="Times New Roman" w:hAnsi="Arial" w:cs="Arial"/>
                <w:lang w:eastAsia="en-GB"/>
              </w:rPr>
            </w:pPr>
          </w:p>
        </w:tc>
        <w:tc>
          <w:tcPr>
            <w:tcW w:w="909" w:type="pct"/>
            <w:gridSpan w:val="3"/>
            <w:tcBorders>
              <w:bottom w:val="single" w:sz="4" w:space="0" w:color="auto"/>
            </w:tcBorders>
            <w:vAlign w:val="center"/>
          </w:tcPr>
          <w:p w14:paraId="6A4CCADA"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will these outcomes directly result in benefit for the public? Please give details. This should be the main section answered.</w:t>
            </w:r>
          </w:p>
        </w:tc>
        <w:tc>
          <w:tcPr>
            <w:tcW w:w="3901" w:type="pct"/>
            <w:gridSpan w:val="2"/>
            <w:tcBorders>
              <w:bottom w:val="single" w:sz="4" w:space="0" w:color="auto"/>
            </w:tcBorders>
          </w:tcPr>
          <w:p w14:paraId="1F0F0F59"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The PoC study itself has now safeguarded around 300,000 retinal images inside the PHS National Safe Haven and transformed their value beyond clinical care for individual patients, into one of the world’s largest, community-acquired longitudinal, retinal image resources. Scotland’s public funding for routine eye exams for everyone means that there is a high participation rate with more of the population represented and returning regularly. Therefore, many images taken in community optometry practices are of healthy and normal ageing retinas. This gives the SCONe resource the invaluable potential to detect disease before symptoms appear, as opposed to most other retinal image repositories which are based on secondary care or disease- specific cohorts. Furthermore, these images were previously at risk of loss as they were stored in a variety of distributed computers around the country, subject to deletion after 10 years. </w:t>
            </w:r>
          </w:p>
          <w:p w14:paraId="1FCC905E"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By demonstrating the feasibility of creating a community-acquired retinal image repository linked to healthcare data in Scotland we have set the groundwork for a range of research projects which have the potential to detect pre-symptomatic disease and uncover novel biomarkers within the eye which could support the development of new treatments and interventions. In December 2022, the Scottish Government Directorate of Primary Care described the SCONe study as “a globally important study that has the potential to save the lives of millions of people” and “highly encouraged” optometrists to participate.</w:t>
            </w:r>
          </w:p>
          <w:p w14:paraId="05CB211F" w14:textId="77777777" w:rsidR="000313CE" w:rsidRPr="000313CE" w:rsidRDefault="000313CE" w:rsidP="000313CE">
            <w:pPr>
              <w:spacing w:after="120"/>
              <w:ind w:left="23"/>
              <w:rPr>
                <w:rFonts w:ascii="Arial" w:eastAsia="Times New Roman" w:hAnsi="Arial" w:cs="Arial"/>
                <w:lang w:eastAsia="en-GB"/>
              </w:rPr>
            </w:pPr>
          </w:p>
          <w:p w14:paraId="5CC253DD" w14:textId="77777777" w:rsidR="000313CE" w:rsidRPr="000313CE" w:rsidRDefault="000313CE" w:rsidP="000313CE">
            <w:pPr>
              <w:spacing w:after="120"/>
              <w:ind w:left="23"/>
              <w:rPr>
                <w:rFonts w:ascii="Arial" w:eastAsia="Times New Roman" w:hAnsi="Arial" w:cs="Arial"/>
                <w:lang w:eastAsia="en-GB"/>
              </w:rPr>
            </w:pPr>
          </w:p>
        </w:tc>
      </w:tr>
      <w:tr w:rsidR="000313CE" w:rsidRPr="000313CE" w14:paraId="42A133D7" w14:textId="77777777" w:rsidTr="000313CE">
        <w:trPr>
          <w:trHeight w:hRule="exact" w:val="567"/>
        </w:trPr>
        <w:tc>
          <w:tcPr>
            <w:tcW w:w="190" w:type="pct"/>
            <w:shd w:val="clear" w:color="auto" w:fill="B8CCE4" w:themeFill="accent1" w:themeFillTint="66"/>
            <w:vAlign w:val="center"/>
          </w:tcPr>
          <w:p w14:paraId="2D47BB39"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3</w:t>
            </w:r>
          </w:p>
        </w:tc>
        <w:tc>
          <w:tcPr>
            <w:tcW w:w="909" w:type="pct"/>
            <w:gridSpan w:val="3"/>
            <w:shd w:val="clear" w:color="auto" w:fill="B8CCE4" w:themeFill="accent1" w:themeFillTint="66"/>
            <w:vAlign w:val="center"/>
          </w:tcPr>
          <w:p w14:paraId="33E650C6" w14:textId="77777777" w:rsidR="000313CE" w:rsidRPr="000313CE" w:rsidRDefault="000313CE" w:rsidP="000313CE">
            <w:pPr>
              <w:spacing w:after="120"/>
              <w:ind w:left="20"/>
              <w:rPr>
                <w:rFonts w:ascii="Arial" w:eastAsia="Times New Roman" w:hAnsi="Arial" w:cs="Arial"/>
                <w:b/>
                <w:lang w:eastAsia="en-GB"/>
              </w:rPr>
            </w:pPr>
            <w:r w:rsidRPr="000313CE">
              <w:rPr>
                <w:rFonts w:ascii="Arial" w:eastAsia="Times New Roman" w:hAnsi="Arial" w:cs="Arial"/>
                <w:b/>
                <w:lang w:eastAsia="en-GB"/>
              </w:rPr>
              <w:t xml:space="preserve">Data </w:t>
            </w:r>
          </w:p>
        </w:tc>
        <w:tc>
          <w:tcPr>
            <w:tcW w:w="3901" w:type="pct"/>
            <w:gridSpan w:val="2"/>
            <w:shd w:val="clear" w:color="auto" w:fill="B8CCE4" w:themeFill="accent1" w:themeFillTint="66"/>
            <w:vAlign w:val="center"/>
          </w:tcPr>
          <w:p w14:paraId="25B59851"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4C1D9608" w14:textId="77777777" w:rsidTr="000313CE">
        <w:trPr>
          <w:trHeight w:hRule="exact" w:val="5063"/>
        </w:trPr>
        <w:tc>
          <w:tcPr>
            <w:tcW w:w="190" w:type="pct"/>
            <w:tcBorders>
              <w:bottom w:val="single" w:sz="4" w:space="0" w:color="auto"/>
            </w:tcBorders>
            <w:vAlign w:val="center"/>
          </w:tcPr>
          <w:p w14:paraId="3D4EA5D5" w14:textId="77777777" w:rsidR="000313CE" w:rsidRPr="000313CE" w:rsidRDefault="000313CE" w:rsidP="000313CE">
            <w:pPr>
              <w:spacing w:after="120"/>
              <w:jc w:val="both"/>
              <w:rPr>
                <w:rFonts w:ascii="Arial" w:eastAsia="Times New Roman" w:hAnsi="Arial" w:cs="Arial"/>
                <w:lang w:eastAsia="en-GB"/>
              </w:rPr>
            </w:pPr>
          </w:p>
        </w:tc>
        <w:tc>
          <w:tcPr>
            <w:tcW w:w="909" w:type="pct"/>
            <w:gridSpan w:val="3"/>
            <w:tcBorders>
              <w:bottom w:val="single" w:sz="4" w:space="0" w:color="auto"/>
            </w:tcBorders>
            <w:vAlign w:val="center"/>
          </w:tcPr>
          <w:p w14:paraId="0D3CB758"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What data were received / processed / collected? </w:t>
            </w:r>
          </w:p>
          <w:p w14:paraId="6D527213"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Was it as expected? Please give brief details.</w:t>
            </w:r>
          </w:p>
        </w:tc>
        <w:tc>
          <w:tcPr>
            <w:tcW w:w="3901" w:type="pct"/>
            <w:gridSpan w:val="2"/>
            <w:tcBorders>
              <w:bottom w:val="single" w:sz="4" w:space="0" w:color="auto"/>
            </w:tcBorders>
            <w:vAlign w:val="center"/>
          </w:tcPr>
          <w:p w14:paraId="0EEF2B35"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Fundus photographs were retrieved from community optometry practices with personal data fields (for linkage purposes only). These were CHI-linked inside the National Safe Haven and records for each patient were retrieved from GOS1 and SMR01 by eDRIS.</w:t>
            </w:r>
          </w:p>
          <w:p w14:paraId="08593DBD"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The format of the data differed greatly between practices, so the time involved in processing them into the required format for CHI-linkage was longer than expected. </w:t>
            </w:r>
          </w:p>
          <w:p w14:paraId="62A238F3"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The time involved in CHI-linkage and data retrieval by eDRIS was also longer than expected, which meant that our first access to the first tranche of linked data was 21/10/2022. This necessitated a series of extensions to the original application timeline during which time some more linked data was made available which allowed some of the analytical work to begin. </w:t>
            </w:r>
          </w:p>
          <w:p w14:paraId="046FB273" w14:textId="77777777" w:rsidR="000313CE" w:rsidRPr="000313CE" w:rsidRDefault="000313CE" w:rsidP="000313CE">
            <w:pPr>
              <w:spacing w:after="120"/>
              <w:ind w:left="23"/>
              <w:rPr>
                <w:rFonts w:ascii="Arial" w:eastAsia="Times New Roman" w:hAnsi="Arial" w:cs="Arial"/>
                <w:lang w:eastAsia="en-GB"/>
              </w:rPr>
            </w:pPr>
            <w:r w:rsidRPr="000313CE">
              <w:rPr>
                <w:rFonts w:ascii="Arial" w:eastAsia="Times New Roman" w:hAnsi="Arial" w:cs="Arial"/>
                <w:lang w:eastAsia="en-GB"/>
              </w:rPr>
              <w:t xml:space="preserve">We successfully retrieved images from participating independent optometrists; however, we were unable to proceed with the optometrists from the chain for a variety of technical and legal reasons related to their data and business activities.  </w:t>
            </w:r>
          </w:p>
        </w:tc>
      </w:tr>
      <w:tr w:rsidR="000313CE" w:rsidRPr="000313CE" w14:paraId="65848906" w14:textId="77777777" w:rsidTr="000313CE">
        <w:trPr>
          <w:trHeight w:hRule="exact" w:val="567"/>
        </w:trPr>
        <w:tc>
          <w:tcPr>
            <w:tcW w:w="190" w:type="pct"/>
            <w:shd w:val="clear" w:color="auto" w:fill="B8CCE4" w:themeFill="accent1" w:themeFillTint="66"/>
            <w:vAlign w:val="center"/>
          </w:tcPr>
          <w:p w14:paraId="413D8927" w14:textId="43DA94AB"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sz w:val="24"/>
                <w:szCs w:val="24"/>
              </w:rPr>
              <w:br w:type="page"/>
            </w:r>
            <w:r w:rsidRPr="000313CE">
              <w:rPr>
                <w:rFonts w:ascii="Arial" w:eastAsia="Times New Roman" w:hAnsi="Arial" w:cs="Arial"/>
              </w:rPr>
              <w:br w:type="page"/>
            </w:r>
            <w:r w:rsidRPr="000313CE">
              <w:rPr>
                <w:rFonts w:ascii="Arial" w:eastAsia="Times New Roman" w:hAnsi="Arial" w:cs="Arial"/>
                <w:lang w:eastAsia="en-GB"/>
              </w:rPr>
              <w:t>4</w:t>
            </w:r>
          </w:p>
        </w:tc>
        <w:tc>
          <w:tcPr>
            <w:tcW w:w="989" w:type="pct"/>
            <w:gridSpan w:val="4"/>
            <w:shd w:val="clear" w:color="auto" w:fill="B8CCE4" w:themeFill="accent1" w:themeFillTint="66"/>
            <w:vAlign w:val="center"/>
          </w:tcPr>
          <w:p w14:paraId="70C366E5"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 xml:space="preserve">Methodology </w:t>
            </w:r>
          </w:p>
        </w:tc>
        <w:tc>
          <w:tcPr>
            <w:tcW w:w="3821" w:type="pct"/>
            <w:shd w:val="clear" w:color="auto" w:fill="B8CCE4" w:themeFill="accent1" w:themeFillTint="66"/>
            <w:vAlign w:val="center"/>
          </w:tcPr>
          <w:p w14:paraId="134F5535"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7CEE9701" w14:textId="77777777" w:rsidTr="000313CE">
        <w:trPr>
          <w:trHeight w:val="1538"/>
        </w:trPr>
        <w:tc>
          <w:tcPr>
            <w:tcW w:w="190" w:type="pct"/>
            <w:vMerge w:val="restart"/>
            <w:vAlign w:val="center"/>
          </w:tcPr>
          <w:p w14:paraId="2889A2EB"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433BCEE3"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did you collect the data?</w:t>
            </w:r>
          </w:p>
        </w:tc>
        <w:tc>
          <w:tcPr>
            <w:tcW w:w="3821" w:type="pct"/>
            <w:vAlign w:val="center"/>
          </w:tcPr>
          <w:p w14:paraId="687CB92C"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SCONe researchers collected the fundus photographs and linking data from practices (after DSA was signed), saved them to a highly secure encrypted hard drive, and after processing into the required specification, personally delivered the disk to the EPCC Advanced Computing Facility for upload to the National Safe Haven. </w:t>
            </w:r>
          </w:p>
          <w:p w14:paraId="13D8BD9B"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eDRIS, PHS retrieved the centrally collated healthcare data for linkage.</w:t>
            </w:r>
          </w:p>
        </w:tc>
      </w:tr>
      <w:tr w:rsidR="000313CE" w:rsidRPr="000313CE" w14:paraId="359137CB" w14:textId="77777777" w:rsidTr="000313CE">
        <w:trPr>
          <w:trHeight w:hRule="exact" w:val="1076"/>
        </w:trPr>
        <w:tc>
          <w:tcPr>
            <w:tcW w:w="190" w:type="pct"/>
            <w:vMerge/>
            <w:vAlign w:val="center"/>
          </w:tcPr>
          <w:p w14:paraId="68240E4D"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4A459370"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did you process the data?</w:t>
            </w:r>
          </w:p>
        </w:tc>
        <w:tc>
          <w:tcPr>
            <w:tcW w:w="3821" w:type="pct"/>
            <w:vAlign w:val="center"/>
          </w:tcPr>
          <w:p w14:paraId="6A360601"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 xml:space="preserve">We processed the data using UoE managed computers in approved, secure locations. Once linked to healthcare data, we accessed these data within the National Safe Haven via VPN. </w:t>
            </w:r>
          </w:p>
        </w:tc>
      </w:tr>
      <w:tr w:rsidR="000313CE" w:rsidRPr="000313CE" w14:paraId="565DA262" w14:textId="77777777" w:rsidTr="000313CE">
        <w:trPr>
          <w:trHeight w:hRule="exact" w:val="1505"/>
        </w:trPr>
        <w:tc>
          <w:tcPr>
            <w:tcW w:w="190" w:type="pct"/>
            <w:vMerge/>
            <w:vAlign w:val="center"/>
          </w:tcPr>
          <w:p w14:paraId="1F164203"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33EF29B5"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How did you provision / publish the information?</w:t>
            </w:r>
          </w:p>
        </w:tc>
        <w:tc>
          <w:tcPr>
            <w:tcW w:w="3821" w:type="pct"/>
            <w:vAlign w:val="center"/>
          </w:tcPr>
          <w:p w14:paraId="791FDC91"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worked with various partners (optometrists, image camera &amp; software manufacturers, EPCC, eDRIS) to develop the methods required to acquire and process the data and have written up two elements of the methodology (linkage of images to personal data and drusen detection) as manuscripts for publication. </w:t>
            </w:r>
          </w:p>
        </w:tc>
      </w:tr>
      <w:tr w:rsidR="000313CE" w:rsidRPr="000313CE" w14:paraId="20FD5DDC" w14:textId="77777777" w:rsidTr="000313CE">
        <w:trPr>
          <w:trHeight w:hRule="exact" w:val="1852"/>
        </w:trPr>
        <w:tc>
          <w:tcPr>
            <w:tcW w:w="190" w:type="pct"/>
            <w:vMerge/>
            <w:vAlign w:val="center"/>
          </w:tcPr>
          <w:p w14:paraId="612B5F3E"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vAlign w:val="center"/>
          </w:tcPr>
          <w:p w14:paraId="57F1BEF7"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Did your study scope change from its original aims? Please give brief details.</w:t>
            </w:r>
          </w:p>
          <w:p w14:paraId="7037E3B7" w14:textId="77777777" w:rsidR="000313CE" w:rsidRPr="000313CE" w:rsidRDefault="000313CE" w:rsidP="000313CE">
            <w:pPr>
              <w:spacing w:after="120"/>
              <w:ind w:left="20"/>
              <w:rPr>
                <w:rFonts w:ascii="Arial" w:eastAsia="Times New Roman" w:hAnsi="Arial" w:cs="Arial"/>
                <w:lang w:eastAsia="en-GB"/>
              </w:rPr>
            </w:pPr>
          </w:p>
        </w:tc>
        <w:tc>
          <w:tcPr>
            <w:tcW w:w="3821" w:type="pct"/>
            <w:vAlign w:val="center"/>
          </w:tcPr>
          <w:p w14:paraId="2B27E974"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As mentioned above the time involved in data processing and linkage was longer than anticipated therefore the time available for assessment and analytical work on the linked data was limited. </w:t>
            </w:r>
          </w:p>
          <w:p w14:paraId="3533D84A"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have applied for and received approval to carry on this work into phase 2 as its importance and potential public benefit is considered to be very high. </w:t>
            </w:r>
          </w:p>
        </w:tc>
      </w:tr>
      <w:tr w:rsidR="000313CE" w:rsidRPr="000313CE" w14:paraId="25AFDED8" w14:textId="77777777" w:rsidTr="000313CE">
        <w:trPr>
          <w:trHeight w:hRule="exact" w:val="567"/>
        </w:trPr>
        <w:tc>
          <w:tcPr>
            <w:tcW w:w="190" w:type="pct"/>
            <w:shd w:val="clear" w:color="auto" w:fill="B8CCE4" w:themeFill="accent1" w:themeFillTint="66"/>
            <w:vAlign w:val="center"/>
          </w:tcPr>
          <w:p w14:paraId="1C4160FC" w14:textId="77777777"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lang w:eastAsia="en-GB"/>
              </w:rPr>
              <w:t>5</w:t>
            </w:r>
          </w:p>
        </w:tc>
        <w:tc>
          <w:tcPr>
            <w:tcW w:w="989" w:type="pct"/>
            <w:gridSpan w:val="4"/>
            <w:shd w:val="clear" w:color="auto" w:fill="B8CCE4" w:themeFill="accent1" w:themeFillTint="66"/>
            <w:vAlign w:val="center"/>
          </w:tcPr>
          <w:p w14:paraId="133261D1"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 xml:space="preserve">Outcomes: </w:t>
            </w:r>
          </w:p>
        </w:tc>
        <w:tc>
          <w:tcPr>
            <w:tcW w:w="3821" w:type="pct"/>
            <w:shd w:val="clear" w:color="auto" w:fill="B8CCE4" w:themeFill="accent1" w:themeFillTint="66"/>
            <w:vAlign w:val="center"/>
          </w:tcPr>
          <w:p w14:paraId="0EDF403B"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767CA336" w14:textId="77777777" w:rsidTr="000313CE">
        <w:trPr>
          <w:trHeight w:val="4743"/>
        </w:trPr>
        <w:tc>
          <w:tcPr>
            <w:tcW w:w="190" w:type="pct"/>
            <w:tcBorders>
              <w:bottom w:val="single" w:sz="4" w:space="0" w:color="auto"/>
            </w:tcBorders>
            <w:vAlign w:val="center"/>
          </w:tcPr>
          <w:p w14:paraId="6704BBEA" w14:textId="77777777" w:rsidR="000313CE" w:rsidRPr="000313CE" w:rsidRDefault="000313CE" w:rsidP="000313CE">
            <w:pPr>
              <w:spacing w:after="120"/>
              <w:jc w:val="both"/>
              <w:rPr>
                <w:rFonts w:ascii="Arial" w:eastAsia="Times New Roman" w:hAnsi="Arial" w:cs="Arial"/>
                <w:lang w:eastAsia="en-GB"/>
              </w:rPr>
            </w:pPr>
          </w:p>
        </w:tc>
        <w:tc>
          <w:tcPr>
            <w:tcW w:w="989" w:type="pct"/>
            <w:gridSpan w:val="4"/>
            <w:tcBorders>
              <w:bottom w:val="single" w:sz="4" w:space="0" w:color="auto"/>
            </w:tcBorders>
            <w:vAlign w:val="center"/>
          </w:tcPr>
          <w:p w14:paraId="3BA9E9BB"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The outcomes / results of your proposal. Please give brief details.</w:t>
            </w:r>
          </w:p>
        </w:tc>
        <w:tc>
          <w:tcPr>
            <w:tcW w:w="3821" w:type="pct"/>
            <w:tcBorders>
              <w:bottom w:val="single" w:sz="4" w:space="0" w:color="auto"/>
            </w:tcBorders>
            <w:vAlign w:val="center"/>
          </w:tcPr>
          <w:p w14:paraId="00789017"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 xml:space="preserve">We successfully demonstrated that it is technically possible to securely retrieve images from a variety of optometry practices using different, non-interoperable systems, and to prepare them into a format which made them linkable to CHI (not available in practice on the image capture systems). </w:t>
            </w:r>
          </w:p>
          <w:p w14:paraId="2C3C7E13"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We undertook assessment of the available linked data for the SCONe PoC cohort. There was one or more GOS record for 95% of individuals and SMR01 records for 82%. This meant we could identify some demographic and health-related information for the majority of patients, which will allow an evaluation of how representative the cohort is in future analyses.</w:t>
            </w:r>
          </w:p>
          <w:p w14:paraId="27BD6FD4"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We were able to develop neural networks to enable the simple exclusion of unwanted anterior eye images from our dataset and to assess the quality of images, in order to determine their value for research.</w:t>
            </w:r>
          </w:p>
          <w:p w14:paraId="2977DD97"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We discovered that the diagnostic coding for macular degeneration in GOS data changed in 2009 to the more generic “macula problems” which had implications for the identification of cases. We requested additional linked data for phase 2 which we hope may assist with this challenge.</w:t>
            </w:r>
          </w:p>
        </w:tc>
      </w:tr>
      <w:tr w:rsidR="000313CE" w:rsidRPr="000313CE" w14:paraId="3ECD84AC" w14:textId="77777777" w:rsidTr="00144C61">
        <w:trPr>
          <w:trHeight w:hRule="exact" w:val="567"/>
        </w:trPr>
        <w:tc>
          <w:tcPr>
            <w:tcW w:w="188" w:type="pct"/>
            <w:shd w:val="clear" w:color="auto" w:fill="B8CCE4" w:themeFill="accent1" w:themeFillTint="66"/>
            <w:vAlign w:val="center"/>
          </w:tcPr>
          <w:p w14:paraId="6D809DFB" w14:textId="33864F92" w:rsidR="000313CE" w:rsidRPr="000313CE" w:rsidRDefault="000313CE" w:rsidP="000313CE">
            <w:pPr>
              <w:spacing w:after="120"/>
              <w:jc w:val="both"/>
              <w:rPr>
                <w:rFonts w:ascii="Arial" w:eastAsia="Times New Roman" w:hAnsi="Arial" w:cs="Arial"/>
                <w:lang w:eastAsia="en-GB"/>
              </w:rPr>
            </w:pPr>
            <w:r w:rsidRPr="000313CE">
              <w:rPr>
                <w:rFonts w:ascii="Arial" w:eastAsia="Times New Roman" w:hAnsi="Arial" w:cs="Arial"/>
                <w:sz w:val="24"/>
                <w:szCs w:val="24"/>
              </w:rPr>
              <w:br w:type="page"/>
            </w:r>
            <w:r w:rsidRPr="000313CE">
              <w:rPr>
                <w:rFonts w:ascii="Arial" w:eastAsia="Times New Roman" w:hAnsi="Arial" w:cs="Arial"/>
              </w:rPr>
              <w:br w:type="page"/>
            </w:r>
            <w:r w:rsidRPr="000313CE">
              <w:rPr>
                <w:rFonts w:ascii="Arial" w:eastAsia="Times New Roman" w:hAnsi="Arial" w:cs="Arial"/>
                <w:lang w:eastAsia="en-GB"/>
              </w:rPr>
              <w:t>6</w:t>
            </w:r>
          </w:p>
        </w:tc>
        <w:tc>
          <w:tcPr>
            <w:tcW w:w="796" w:type="pct"/>
            <w:shd w:val="clear" w:color="auto" w:fill="B8CCE4" w:themeFill="accent1" w:themeFillTint="66"/>
            <w:vAlign w:val="center"/>
          </w:tcPr>
          <w:p w14:paraId="7A399D64" w14:textId="77777777" w:rsidR="000313CE" w:rsidRPr="000313CE" w:rsidRDefault="000313CE" w:rsidP="000313CE">
            <w:pPr>
              <w:spacing w:after="120"/>
              <w:ind w:left="20"/>
              <w:jc w:val="both"/>
              <w:rPr>
                <w:rFonts w:ascii="Arial" w:eastAsia="Times New Roman" w:hAnsi="Arial" w:cs="Arial"/>
                <w:b/>
                <w:lang w:eastAsia="en-GB"/>
              </w:rPr>
            </w:pPr>
            <w:r w:rsidRPr="000313CE">
              <w:rPr>
                <w:rFonts w:ascii="Arial" w:eastAsia="Times New Roman" w:hAnsi="Arial" w:cs="Arial"/>
                <w:b/>
                <w:lang w:eastAsia="en-GB"/>
              </w:rPr>
              <w:t>Future Questions:</w:t>
            </w:r>
          </w:p>
        </w:tc>
        <w:tc>
          <w:tcPr>
            <w:tcW w:w="4016" w:type="pct"/>
            <w:gridSpan w:val="4"/>
            <w:shd w:val="clear" w:color="auto" w:fill="B8CCE4" w:themeFill="accent1" w:themeFillTint="66"/>
            <w:vAlign w:val="center"/>
          </w:tcPr>
          <w:p w14:paraId="0F58053C" w14:textId="77777777" w:rsidR="000313CE" w:rsidRPr="000313CE" w:rsidRDefault="000313CE" w:rsidP="000313CE">
            <w:pPr>
              <w:spacing w:after="120"/>
              <w:ind w:left="360"/>
              <w:jc w:val="both"/>
              <w:rPr>
                <w:rFonts w:ascii="Arial" w:eastAsia="Times New Roman" w:hAnsi="Arial" w:cs="Arial"/>
                <w:lang w:eastAsia="en-GB"/>
              </w:rPr>
            </w:pPr>
          </w:p>
        </w:tc>
      </w:tr>
      <w:tr w:rsidR="000313CE" w:rsidRPr="000313CE" w14:paraId="6B8DBEE2" w14:textId="77777777" w:rsidTr="00144C61">
        <w:trPr>
          <w:trHeight w:val="649"/>
        </w:trPr>
        <w:tc>
          <w:tcPr>
            <w:tcW w:w="188" w:type="pct"/>
            <w:vAlign w:val="center"/>
          </w:tcPr>
          <w:p w14:paraId="6D6784F6" w14:textId="77777777" w:rsidR="000313CE" w:rsidRPr="000313CE" w:rsidRDefault="000313CE" w:rsidP="000313CE">
            <w:pPr>
              <w:spacing w:after="120"/>
              <w:jc w:val="both"/>
              <w:rPr>
                <w:rFonts w:ascii="Arial" w:eastAsia="Times New Roman" w:hAnsi="Arial" w:cs="Arial"/>
                <w:lang w:eastAsia="en-GB"/>
              </w:rPr>
            </w:pPr>
          </w:p>
        </w:tc>
        <w:tc>
          <w:tcPr>
            <w:tcW w:w="796" w:type="pct"/>
            <w:vAlign w:val="center"/>
          </w:tcPr>
          <w:p w14:paraId="3764C056" w14:textId="77777777" w:rsidR="000313CE" w:rsidRPr="000313CE" w:rsidRDefault="000313CE" w:rsidP="000313CE">
            <w:pPr>
              <w:spacing w:after="120"/>
              <w:ind w:left="20"/>
              <w:rPr>
                <w:rFonts w:ascii="Arial" w:eastAsia="Times New Roman" w:hAnsi="Arial" w:cs="Arial"/>
                <w:lang w:eastAsia="en-GB"/>
              </w:rPr>
            </w:pPr>
            <w:r w:rsidRPr="000313CE">
              <w:rPr>
                <w:rFonts w:ascii="Arial" w:eastAsia="Times New Roman" w:hAnsi="Arial" w:cs="Arial"/>
                <w:lang w:eastAsia="en-GB"/>
              </w:rPr>
              <w:t>Have the processes / results raised further questions for future exploration? Please give brief details.</w:t>
            </w:r>
          </w:p>
        </w:tc>
        <w:tc>
          <w:tcPr>
            <w:tcW w:w="4016" w:type="pct"/>
            <w:gridSpan w:val="4"/>
            <w:vAlign w:val="center"/>
          </w:tcPr>
          <w:p w14:paraId="2F337D88"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Yes, we have submitted and received approval for phase 2 of SCONe which will expand the retinal image repository in a few ways to enhance its ability to support useful research:</w:t>
            </w:r>
          </w:p>
          <w:p w14:paraId="65639F86" w14:textId="77777777" w:rsidR="000313CE" w:rsidRPr="000313CE" w:rsidRDefault="000313CE" w:rsidP="000313CE">
            <w:pPr>
              <w:numPr>
                <w:ilvl w:val="0"/>
                <w:numId w:val="28"/>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images for patients aged 18+ (rather than 60+) to improve generalisability of research and representativeness of the cohort to the Scottish population</w:t>
            </w:r>
          </w:p>
          <w:p w14:paraId="39EBBEB5" w14:textId="77777777" w:rsidR="000313CE" w:rsidRPr="000313CE" w:rsidRDefault="000313CE" w:rsidP="000313CE">
            <w:pPr>
              <w:numPr>
                <w:ilvl w:val="0"/>
                <w:numId w:val="28"/>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additional linked datasets to improve identification of disease cases (death, outpatients, prescribing)</w:t>
            </w:r>
          </w:p>
          <w:p w14:paraId="23FFF63B" w14:textId="77777777" w:rsidR="000313CE" w:rsidRPr="000313CE" w:rsidRDefault="000313CE" w:rsidP="000313CE">
            <w:pPr>
              <w:numPr>
                <w:ilvl w:val="0"/>
                <w:numId w:val="28"/>
              </w:numPr>
              <w:tabs>
                <w:tab w:val="left" w:pos="720"/>
                <w:tab w:val="left" w:pos="1440"/>
                <w:tab w:val="left" w:pos="2160"/>
                <w:tab w:val="left" w:pos="2880"/>
                <w:tab w:val="left" w:pos="4680"/>
                <w:tab w:val="left" w:pos="5400"/>
                <w:tab w:val="right" w:pos="9000"/>
              </w:tabs>
              <w:spacing w:after="120"/>
              <w:contextualSpacing/>
              <w:jc w:val="both"/>
              <w:rPr>
                <w:rFonts w:ascii="Arial" w:eastAsia="Times New Roman" w:hAnsi="Arial" w:cs="Arial"/>
                <w:lang w:eastAsia="en-GB"/>
              </w:rPr>
            </w:pPr>
            <w:r w:rsidRPr="000313CE">
              <w:rPr>
                <w:rFonts w:ascii="Arial" w:eastAsia="Times New Roman" w:hAnsi="Arial" w:cs="Arial"/>
                <w:lang w:eastAsia="en-GB"/>
              </w:rPr>
              <w:t>longitudinal data including up to 15 years prior to first image to improve disease detection</w:t>
            </w:r>
          </w:p>
          <w:p w14:paraId="2D95EC0F" w14:textId="77777777" w:rsidR="000313CE" w:rsidRPr="000313CE" w:rsidRDefault="000313CE" w:rsidP="000313CE">
            <w:pPr>
              <w:tabs>
                <w:tab w:val="left" w:pos="720"/>
                <w:tab w:val="left" w:pos="1440"/>
                <w:tab w:val="left" w:pos="2160"/>
                <w:tab w:val="left" w:pos="2880"/>
                <w:tab w:val="left" w:pos="4680"/>
                <w:tab w:val="left" w:pos="5400"/>
                <w:tab w:val="right" w:pos="9000"/>
              </w:tabs>
              <w:spacing w:after="120"/>
              <w:rPr>
                <w:rFonts w:ascii="Arial" w:eastAsia="Times New Roman" w:hAnsi="Arial" w:cs="Arial"/>
                <w:lang w:eastAsia="en-GB"/>
              </w:rPr>
            </w:pPr>
            <w:r w:rsidRPr="000313CE">
              <w:rPr>
                <w:rFonts w:ascii="Arial" w:eastAsia="Times New Roman" w:hAnsi="Arial" w:cs="Arial"/>
                <w:lang w:eastAsia="en-GB"/>
              </w:rPr>
              <w:t>We have developed a specific proposal around ocular disease prediction, with an approach which could be applied to other disease groups of interest such as neurodegenerative disease. These additional applications will be submitted separately.</w:t>
            </w:r>
          </w:p>
        </w:tc>
      </w:tr>
    </w:tbl>
    <w:p w14:paraId="449C2644" w14:textId="77777777" w:rsidR="000313CE" w:rsidRPr="00823B34" w:rsidRDefault="000313CE" w:rsidP="000313CE">
      <w:pPr>
        <w:rPr>
          <w:rFonts w:eastAsia="Times New Roman" w:cstheme="minorHAnsi"/>
          <w:b/>
          <w:bCs/>
          <w:sz w:val="24"/>
          <w:szCs w:val="24"/>
        </w:rPr>
      </w:pPr>
    </w:p>
    <w:p w14:paraId="455443AF" w14:textId="5646C42E" w:rsidR="000313CE" w:rsidRDefault="00B7285B" w:rsidP="00B7285B">
      <w:pPr>
        <w:pStyle w:val="Heading2"/>
      </w:pPr>
      <w:bookmarkStart w:id="27" w:name="_1920-0194_Emily_R."/>
      <w:bookmarkEnd w:id="27"/>
      <w:r>
        <w:t>1920-0194</w:t>
      </w:r>
      <w:r>
        <w:tab/>
        <w:t>Emily R. Adrion</w:t>
      </w:r>
    </w:p>
    <w:p w14:paraId="5EB64115" w14:textId="77777777" w:rsidR="00B7285B" w:rsidRDefault="00B7285B" w:rsidP="00B7285B"/>
    <w:p w14:paraId="5396989E" w14:textId="538E1E8E" w:rsidR="00B7285B" w:rsidRDefault="00B7285B" w:rsidP="00B7285B">
      <w:r w:rsidRPr="00B7285B">
        <w:t>The Elimination of the Prescription Charge in Scotland: Understanding the short- and medium-term impact of prescription charge removal and examining future directions</w:t>
      </w:r>
    </w:p>
    <w:p w14:paraId="1125759A" w14:textId="77777777" w:rsidR="00B7285B" w:rsidRDefault="00B7285B" w:rsidP="00B7285B">
      <w:pPr>
        <w:spacing w:line="240" w:lineRule="auto"/>
        <w:jc w:val="center"/>
        <w:rPr>
          <w:b/>
          <w:sz w:val="32"/>
        </w:rPr>
      </w:pPr>
      <w:r>
        <w:rPr>
          <w:b/>
          <w:sz w:val="32"/>
        </w:rPr>
        <w:t>The Public Benefit Impact Summary</w:t>
      </w:r>
    </w:p>
    <w:p w14:paraId="651D4280" w14:textId="77777777" w:rsidR="00B7285B" w:rsidRDefault="00B7285B" w:rsidP="00B7285B">
      <w:pPr>
        <w:rPr>
          <w:b/>
        </w:rPr>
      </w:pPr>
    </w:p>
    <w:tbl>
      <w:tblPr>
        <w:tblStyle w:val="TableGrid"/>
        <w:tblW w:w="5000" w:type="pct"/>
        <w:tblLook w:val="04A0" w:firstRow="1" w:lastRow="0" w:firstColumn="1" w:lastColumn="0" w:noHBand="0" w:noVBand="1"/>
      </w:tblPr>
      <w:tblGrid>
        <w:gridCol w:w="339"/>
        <w:gridCol w:w="3359"/>
        <w:gridCol w:w="5318"/>
      </w:tblGrid>
      <w:tr w:rsidR="00B7285B" w14:paraId="4D3D6CCB"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8D1320" w14:textId="77777777" w:rsidR="00B7285B" w:rsidRDefault="00B7285B">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23784E" w14:textId="77777777" w:rsidR="00B7285B" w:rsidRDefault="00B7285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CB45B0" w14:textId="77777777" w:rsidR="00B7285B" w:rsidRDefault="00B7285B">
            <w:pPr>
              <w:spacing w:after="200" w:line="276" w:lineRule="auto"/>
              <w:ind w:left="360"/>
              <w:rPr>
                <w:lang w:eastAsia="en-GB"/>
              </w:rPr>
            </w:pPr>
          </w:p>
        </w:tc>
      </w:tr>
      <w:tr w:rsidR="00B7285B" w14:paraId="02AC6DC8" w14:textId="77777777" w:rsidTr="00B7285B">
        <w:trPr>
          <w:trHeight w:hRule="exact" w:val="2782"/>
        </w:trPr>
        <w:tc>
          <w:tcPr>
            <w:tcW w:w="188" w:type="pct"/>
            <w:tcBorders>
              <w:top w:val="single" w:sz="4" w:space="0" w:color="auto"/>
              <w:left w:val="single" w:sz="4" w:space="0" w:color="auto"/>
              <w:bottom w:val="single" w:sz="4" w:space="0" w:color="auto"/>
              <w:right w:val="single" w:sz="4" w:space="0" w:color="auto"/>
            </w:tcBorders>
            <w:vAlign w:val="center"/>
          </w:tcPr>
          <w:p w14:paraId="48838B53"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84D859" w14:textId="77777777" w:rsidR="00B7285B" w:rsidRDefault="00B7285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6CCF6E" w14:textId="77777777" w:rsidR="00B7285B" w:rsidRDefault="00B7285B">
            <w:pPr>
              <w:rPr>
                <w:sz w:val="24"/>
                <w:szCs w:val="24"/>
              </w:rPr>
            </w:pPr>
            <w:r>
              <w:t>This study examined the impact of the policy eliminating prescription charges in Scotland, focusing on the impact on:</w:t>
            </w:r>
          </w:p>
          <w:p w14:paraId="015EADF8" w14:textId="77777777" w:rsidR="00B7285B" w:rsidRDefault="00B7285B">
            <w:r>
              <w:t>- Prescribing and dispensing rates</w:t>
            </w:r>
          </w:p>
          <w:p w14:paraId="2844B213" w14:textId="77777777" w:rsidR="00B7285B" w:rsidRDefault="00B7285B">
            <w:r>
              <w:t>- Prescriptions for medicines also available over the counter</w:t>
            </w:r>
          </w:p>
          <w:p w14:paraId="6E705878" w14:textId="77777777" w:rsidR="00B7285B" w:rsidRDefault="00B7285B">
            <w:r>
              <w:t>- High-value medicine prescriptions</w:t>
            </w:r>
          </w:p>
          <w:p w14:paraId="66FEE991" w14:textId="77777777" w:rsidR="00B7285B" w:rsidRDefault="00B7285B">
            <w:r>
              <w:t>And the impact by:</w:t>
            </w:r>
          </w:p>
          <w:p w14:paraId="5C534C8C" w14:textId="77777777" w:rsidR="00B7285B" w:rsidRDefault="00B7285B">
            <w:pPr>
              <w:spacing w:line="360" w:lineRule="auto"/>
              <w:rPr>
                <w:lang w:eastAsia="en-GB"/>
              </w:rPr>
            </w:pPr>
            <w:r>
              <w:t>- Socioeconomic status (via SIMD)</w:t>
            </w:r>
          </w:p>
        </w:tc>
      </w:tr>
      <w:tr w:rsidR="00B7285B" w14:paraId="58A1FC2F"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FC39BF" w14:textId="77777777" w:rsidR="00B7285B" w:rsidRDefault="00B7285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400EB0" w14:textId="77777777" w:rsidR="00B7285B" w:rsidRDefault="00B7285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802631" w14:textId="77777777" w:rsidR="00B7285B" w:rsidRDefault="00B7285B">
            <w:pPr>
              <w:spacing w:after="200" w:line="276" w:lineRule="auto"/>
              <w:ind w:left="360"/>
              <w:rPr>
                <w:lang w:eastAsia="en-GB"/>
              </w:rPr>
            </w:pPr>
          </w:p>
          <w:p w14:paraId="6945FEBD" w14:textId="77777777" w:rsidR="00B7285B" w:rsidRDefault="00B7285B">
            <w:pPr>
              <w:spacing w:after="200" w:line="276" w:lineRule="auto"/>
              <w:rPr>
                <w:lang w:eastAsia="en-GB"/>
              </w:rPr>
            </w:pPr>
          </w:p>
          <w:p w14:paraId="3D4A89CD" w14:textId="77777777" w:rsidR="00B7285B" w:rsidRDefault="00B7285B">
            <w:pPr>
              <w:spacing w:after="200" w:line="276" w:lineRule="auto"/>
              <w:rPr>
                <w:lang w:eastAsia="en-GB"/>
              </w:rPr>
            </w:pPr>
          </w:p>
          <w:p w14:paraId="6F9561F3" w14:textId="77777777" w:rsidR="00B7285B" w:rsidRDefault="00B7285B">
            <w:pPr>
              <w:spacing w:after="200" w:line="276" w:lineRule="auto"/>
              <w:rPr>
                <w:lang w:eastAsia="en-GB"/>
              </w:rPr>
            </w:pPr>
          </w:p>
          <w:p w14:paraId="50DB975F" w14:textId="77777777" w:rsidR="00B7285B" w:rsidRDefault="00B7285B">
            <w:pPr>
              <w:spacing w:after="200" w:line="276" w:lineRule="auto"/>
              <w:rPr>
                <w:lang w:eastAsia="en-GB"/>
              </w:rPr>
            </w:pPr>
          </w:p>
          <w:p w14:paraId="134AE72A" w14:textId="77777777" w:rsidR="00B7285B" w:rsidRDefault="00B7285B">
            <w:pPr>
              <w:spacing w:after="200" w:line="276" w:lineRule="auto"/>
              <w:rPr>
                <w:lang w:eastAsia="en-GB"/>
              </w:rPr>
            </w:pPr>
          </w:p>
          <w:p w14:paraId="3B92ECF5" w14:textId="77777777" w:rsidR="00B7285B" w:rsidRDefault="00B7285B">
            <w:pPr>
              <w:spacing w:after="200" w:line="276" w:lineRule="auto"/>
              <w:rPr>
                <w:lang w:eastAsia="en-GB"/>
              </w:rPr>
            </w:pPr>
          </w:p>
          <w:p w14:paraId="0E993D69" w14:textId="77777777" w:rsidR="00B7285B" w:rsidRDefault="00B7285B">
            <w:pPr>
              <w:spacing w:after="200" w:line="276" w:lineRule="auto"/>
              <w:rPr>
                <w:lang w:eastAsia="en-GB"/>
              </w:rPr>
            </w:pPr>
          </w:p>
          <w:p w14:paraId="27D5A6C9" w14:textId="77777777" w:rsidR="00B7285B" w:rsidRDefault="00B7285B">
            <w:pPr>
              <w:spacing w:after="200" w:line="276" w:lineRule="auto"/>
              <w:rPr>
                <w:lang w:eastAsia="en-GB"/>
              </w:rPr>
            </w:pPr>
          </w:p>
          <w:p w14:paraId="4A6C24FE" w14:textId="77777777" w:rsidR="00B7285B" w:rsidRDefault="00B7285B">
            <w:pPr>
              <w:spacing w:after="200" w:line="276" w:lineRule="auto"/>
              <w:rPr>
                <w:lang w:eastAsia="en-GB"/>
              </w:rPr>
            </w:pPr>
          </w:p>
          <w:p w14:paraId="31D3F20D" w14:textId="77777777" w:rsidR="00B7285B" w:rsidRDefault="00B7285B">
            <w:pPr>
              <w:spacing w:after="200" w:line="276" w:lineRule="auto"/>
              <w:rPr>
                <w:lang w:eastAsia="en-GB"/>
              </w:rPr>
            </w:pPr>
          </w:p>
          <w:p w14:paraId="2AF9A508" w14:textId="77777777" w:rsidR="00B7285B" w:rsidRDefault="00B7285B">
            <w:pPr>
              <w:spacing w:after="200" w:line="276" w:lineRule="auto"/>
              <w:rPr>
                <w:lang w:eastAsia="en-GB"/>
              </w:rPr>
            </w:pPr>
          </w:p>
          <w:p w14:paraId="463CE23F" w14:textId="77777777" w:rsidR="00B7285B" w:rsidRDefault="00B7285B">
            <w:pPr>
              <w:spacing w:after="200" w:line="276" w:lineRule="auto"/>
              <w:rPr>
                <w:lang w:eastAsia="en-GB"/>
              </w:rPr>
            </w:pPr>
          </w:p>
          <w:p w14:paraId="28C06986" w14:textId="77777777" w:rsidR="00B7285B" w:rsidRDefault="00B7285B">
            <w:pPr>
              <w:spacing w:after="200" w:line="276" w:lineRule="auto"/>
              <w:rPr>
                <w:lang w:eastAsia="en-GB"/>
              </w:rPr>
            </w:pPr>
          </w:p>
          <w:p w14:paraId="789CFCF6" w14:textId="77777777" w:rsidR="00B7285B" w:rsidRDefault="00B7285B">
            <w:pPr>
              <w:spacing w:after="200" w:line="276" w:lineRule="auto"/>
              <w:rPr>
                <w:lang w:eastAsia="en-GB"/>
              </w:rPr>
            </w:pPr>
          </w:p>
          <w:p w14:paraId="39A16DEB" w14:textId="77777777" w:rsidR="00B7285B" w:rsidRDefault="00B7285B">
            <w:pPr>
              <w:spacing w:after="200" w:line="276" w:lineRule="auto"/>
              <w:rPr>
                <w:lang w:eastAsia="en-GB"/>
              </w:rPr>
            </w:pPr>
          </w:p>
          <w:p w14:paraId="0102904A" w14:textId="77777777" w:rsidR="00B7285B" w:rsidRDefault="00B7285B">
            <w:pPr>
              <w:spacing w:after="200" w:line="276" w:lineRule="auto"/>
              <w:rPr>
                <w:lang w:eastAsia="en-GB"/>
              </w:rPr>
            </w:pPr>
          </w:p>
          <w:p w14:paraId="5A661809" w14:textId="77777777" w:rsidR="00B7285B" w:rsidRDefault="00B7285B">
            <w:pPr>
              <w:spacing w:after="200" w:line="276" w:lineRule="auto"/>
              <w:rPr>
                <w:lang w:eastAsia="en-GB"/>
              </w:rPr>
            </w:pPr>
          </w:p>
          <w:p w14:paraId="19B4F11B" w14:textId="77777777" w:rsidR="00B7285B" w:rsidRDefault="00B7285B">
            <w:pPr>
              <w:spacing w:after="200" w:line="276" w:lineRule="auto"/>
              <w:rPr>
                <w:lang w:eastAsia="en-GB"/>
              </w:rPr>
            </w:pPr>
          </w:p>
          <w:p w14:paraId="4D9263F6" w14:textId="77777777" w:rsidR="00B7285B" w:rsidRDefault="00B7285B">
            <w:pPr>
              <w:spacing w:after="200" w:line="276" w:lineRule="auto"/>
              <w:rPr>
                <w:lang w:eastAsia="en-GB"/>
              </w:rPr>
            </w:pPr>
          </w:p>
          <w:p w14:paraId="0411B554" w14:textId="77777777" w:rsidR="00B7285B" w:rsidRDefault="00B7285B">
            <w:pPr>
              <w:spacing w:after="200" w:line="276" w:lineRule="auto"/>
              <w:rPr>
                <w:lang w:eastAsia="en-GB"/>
              </w:rPr>
            </w:pPr>
          </w:p>
          <w:p w14:paraId="36660CA4" w14:textId="77777777" w:rsidR="00B7285B" w:rsidRDefault="00B7285B">
            <w:pPr>
              <w:spacing w:after="200" w:line="276" w:lineRule="auto"/>
              <w:rPr>
                <w:lang w:eastAsia="en-GB"/>
              </w:rPr>
            </w:pPr>
          </w:p>
          <w:p w14:paraId="03FFC11B" w14:textId="77777777" w:rsidR="00B7285B" w:rsidRDefault="00B7285B">
            <w:pPr>
              <w:spacing w:after="200" w:line="276" w:lineRule="auto"/>
              <w:rPr>
                <w:lang w:eastAsia="en-GB"/>
              </w:rPr>
            </w:pPr>
          </w:p>
          <w:p w14:paraId="059FCDE7" w14:textId="77777777" w:rsidR="00B7285B" w:rsidRDefault="00B7285B">
            <w:pPr>
              <w:spacing w:after="200" w:line="276" w:lineRule="auto"/>
              <w:rPr>
                <w:lang w:eastAsia="en-GB"/>
              </w:rPr>
            </w:pPr>
          </w:p>
          <w:p w14:paraId="5EAAC705" w14:textId="77777777" w:rsidR="00B7285B" w:rsidRDefault="00B7285B">
            <w:pPr>
              <w:spacing w:after="200" w:line="276" w:lineRule="auto"/>
              <w:rPr>
                <w:lang w:eastAsia="en-GB"/>
              </w:rPr>
            </w:pPr>
          </w:p>
        </w:tc>
      </w:tr>
      <w:tr w:rsidR="00B7285B" w14:paraId="7CE9B4A0" w14:textId="77777777" w:rsidTr="00B7285B">
        <w:trPr>
          <w:trHeight w:hRule="exact" w:val="6954"/>
        </w:trPr>
        <w:tc>
          <w:tcPr>
            <w:tcW w:w="188" w:type="pct"/>
            <w:tcBorders>
              <w:top w:val="single" w:sz="4" w:space="0" w:color="auto"/>
              <w:left w:val="single" w:sz="4" w:space="0" w:color="auto"/>
              <w:bottom w:val="single" w:sz="4" w:space="0" w:color="auto"/>
              <w:right w:val="single" w:sz="4" w:space="0" w:color="auto"/>
            </w:tcBorders>
            <w:vAlign w:val="center"/>
          </w:tcPr>
          <w:p w14:paraId="59546A18"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676FE73" w14:textId="77777777" w:rsidR="00B7285B" w:rsidRDefault="00B7285B">
            <w:pPr>
              <w:spacing w:after="200" w:line="276" w:lineRule="auto"/>
              <w:ind w:left="20"/>
              <w:rPr>
                <w:lang w:eastAsia="en-GB"/>
              </w:rPr>
            </w:pPr>
            <w:r>
              <w:rPr>
                <w:lang w:eastAsia="en-GB"/>
              </w:rPr>
              <w:t>How will these outcomes directly result in benefit for the public? Please give details. This should be the main section answered.</w:t>
            </w:r>
          </w:p>
          <w:p w14:paraId="6E0C528C" w14:textId="77777777" w:rsidR="00B7285B" w:rsidRDefault="00B7285B">
            <w:pPr>
              <w:spacing w:after="200" w:line="276" w:lineRule="auto"/>
              <w:ind w:left="20"/>
              <w:rPr>
                <w:lang w:eastAsia="en-GB"/>
              </w:rPr>
            </w:pPr>
          </w:p>
          <w:p w14:paraId="69C7BDB7" w14:textId="77777777" w:rsidR="00B7285B" w:rsidRDefault="00B7285B">
            <w:pPr>
              <w:spacing w:after="200" w:line="276" w:lineRule="auto"/>
              <w:ind w:left="20"/>
              <w:rPr>
                <w:lang w:eastAsia="en-GB"/>
              </w:rPr>
            </w:pPr>
          </w:p>
          <w:p w14:paraId="2EC6153C" w14:textId="77777777" w:rsidR="00B7285B" w:rsidRDefault="00B7285B">
            <w:pPr>
              <w:spacing w:after="200" w:line="276" w:lineRule="auto"/>
              <w:ind w:left="20"/>
              <w:rPr>
                <w:lang w:eastAsia="en-GB"/>
              </w:rPr>
            </w:pPr>
          </w:p>
          <w:p w14:paraId="00296D07" w14:textId="77777777" w:rsidR="00B7285B" w:rsidRDefault="00B7285B">
            <w:pPr>
              <w:spacing w:after="200" w:line="276" w:lineRule="auto"/>
              <w:ind w:left="20"/>
              <w:rPr>
                <w:lang w:eastAsia="en-GB"/>
              </w:rPr>
            </w:pPr>
          </w:p>
          <w:p w14:paraId="50484AEE" w14:textId="77777777" w:rsidR="00B7285B" w:rsidRDefault="00B7285B">
            <w:pPr>
              <w:spacing w:after="200" w:line="276" w:lineRule="auto"/>
              <w:ind w:left="20"/>
              <w:rPr>
                <w:lang w:eastAsia="en-GB"/>
              </w:rPr>
            </w:pPr>
          </w:p>
          <w:p w14:paraId="006F7ECF" w14:textId="77777777" w:rsidR="00B7285B" w:rsidRDefault="00B7285B">
            <w:pPr>
              <w:spacing w:after="200" w:line="276" w:lineRule="auto"/>
              <w:ind w:left="20"/>
              <w:rPr>
                <w:lang w:eastAsia="en-GB"/>
              </w:rPr>
            </w:pPr>
          </w:p>
          <w:p w14:paraId="50606DBE" w14:textId="77777777" w:rsidR="00B7285B" w:rsidRDefault="00B7285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E5EE1C0" w14:textId="77777777" w:rsidR="00B7285B" w:rsidRDefault="00B7285B">
            <w:pPr>
              <w:rPr>
                <w:lang w:eastAsia="en-GB"/>
              </w:rPr>
            </w:pPr>
            <w:r>
              <w:rPr>
                <w:lang w:eastAsia="en-GB"/>
              </w:rPr>
              <w:t xml:space="preserve">NHS prescription charges were fully eliminated in Scotland on 1 April 2011. This policy sought to reduce cost-related access barriers to prescription medicines for the Scottish population. However, only one study narrowly focused on respiratory conditions has been published that looked at the impact of this policy (Williams et al, 2017). </w:t>
            </w:r>
          </w:p>
          <w:p w14:paraId="39074BE1" w14:textId="77777777" w:rsidR="00B7285B" w:rsidRDefault="00B7285B">
            <w:pPr>
              <w:rPr>
                <w:lang w:eastAsia="en-GB"/>
              </w:rPr>
            </w:pPr>
          </w:p>
          <w:p w14:paraId="67F6DB5D" w14:textId="77777777" w:rsidR="00B7285B" w:rsidRDefault="00B7285B">
            <w:pPr>
              <w:rPr>
                <w:lang w:eastAsia="en-GB"/>
              </w:rPr>
            </w:pPr>
            <w:r>
              <w:rPr>
                <w:lang w:eastAsia="en-GB"/>
              </w:rPr>
              <w:t xml:space="preserve">With prescription drug spending in Scotland growing in recent years, calls for the re-introduction of prescription charges as a means of raising revenue and reducing unnecessary utilisation persist. Therefore, a review of the impact of prescription charge elimination was critical in order to better inform policy debates and ensure the equity and access implications of charge removal for patients and the public are clearly examined and understood. </w:t>
            </w:r>
          </w:p>
          <w:p w14:paraId="044A7CD2" w14:textId="77777777" w:rsidR="00B7285B" w:rsidRDefault="00B7285B">
            <w:pPr>
              <w:rPr>
                <w:lang w:eastAsia="en-GB"/>
              </w:rPr>
            </w:pPr>
          </w:p>
          <w:p w14:paraId="38A32555" w14:textId="77777777" w:rsidR="00B7285B" w:rsidRDefault="00B7285B">
            <w:pPr>
              <w:rPr>
                <w:lang w:eastAsia="en-GB"/>
              </w:rPr>
            </w:pPr>
            <w:r>
              <w:rPr>
                <w:lang w:eastAsia="en-GB"/>
              </w:rPr>
              <w:t xml:space="preserve">This project was designed to contribute to Parliamentary Health Committee discussions around prescription charges and was carried out as part of a Scottish Parliament Academic Fellowship with the Scottish Parliament Information Centre (SPICe). This helps to ensure impact of the work, and a report for SPICe will be released in the coming months. </w:t>
            </w:r>
          </w:p>
          <w:p w14:paraId="65DC0BB0" w14:textId="77777777" w:rsidR="00B7285B" w:rsidRDefault="00B7285B">
            <w:pPr>
              <w:rPr>
                <w:lang w:eastAsia="en-GB"/>
              </w:rPr>
            </w:pPr>
          </w:p>
          <w:p w14:paraId="45B948A9" w14:textId="77777777" w:rsidR="00B7285B" w:rsidRDefault="00B7285B">
            <w:pPr>
              <w:rPr>
                <w:lang w:eastAsia="en-GB"/>
              </w:rPr>
            </w:pPr>
          </w:p>
          <w:p w14:paraId="7025608C" w14:textId="77777777" w:rsidR="00B7285B" w:rsidRDefault="00B7285B">
            <w:pPr>
              <w:rPr>
                <w:lang w:eastAsia="en-GB"/>
              </w:rPr>
            </w:pPr>
          </w:p>
          <w:p w14:paraId="64F5BCF0" w14:textId="77777777" w:rsidR="00B7285B" w:rsidRDefault="00B7285B">
            <w:pPr>
              <w:rPr>
                <w:lang w:eastAsia="en-GB"/>
              </w:rPr>
            </w:pPr>
          </w:p>
          <w:p w14:paraId="425E3A8C" w14:textId="77777777" w:rsidR="00B7285B" w:rsidRDefault="00B7285B">
            <w:pPr>
              <w:rPr>
                <w:lang w:eastAsia="en-GB"/>
              </w:rPr>
            </w:pPr>
          </w:p>
          <w:p w14:paraId="33F8F443" w14:textId="77777777" w:rsidR="00B7285B" w:rsidRDefault="00B7285B">
            <w:pPr>
              <w:rPr>
                <w:lang w:eastAsia="en-GB"/>
              </w:rPr>
            </w:pPr>
          </w:p>
          <w:p w14:paraId="70BF7B4A" w14:textId="77777777" w:rsidR="00B7285B" w:rsidRDefault="00B7285B">
            <w:pPr>
              <w:rPr>
                <w:lang w:eastAsia="en-GB"/>
              </w:rPr>
            </w:pPr>
          </w:p>
        </w:tc>
      </w:tr>
      <w:tr w:rsidR="00B7285B" w14:paraId="741CE5FA"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C349F3" w14:textId="77777777" w:rsidR="00B7285B" w:rsidRDefault="00B7285B">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8B170" w14:textId="77777777" w:rsidR="00B7285B" w:rsidRDefault="00B7285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BBFE71" w14:textId="77777777" w:rsidR="00B7285B" w:rsidRDefault="00B7285B">
            <w:pPr>
              <w:spacing w:after="200" w:line="276" w:lineRule="auto"/>
              <w:ind w:left="360"/>
              <w:rPr>
                <w:lang w:eastAsia="en-GB"/>
              </w:rPr>
            </w:pPr>
          </w:p>
        </w:tc>
      </w:tr>
      <w:tr w:rsidR="00B7285B" w14:paraId="4C0F7B2A" w14:textId="77777777" w:rsidTr="00B7285B">
        <w:trPr>
          <w:trHeight w:hRule="exact" w:val="2683"/>
        </w:trPr>
        <w:tc>
          <w:tcPr>
            <w:tcW w:w="188" w:type="pct"/>
            <w:tcBorders>
              <w:top w:val="single" w:sz="4" w:space="0" w:color="auto"/>
              <w:left w:val="single" w:sz="4" w:space="0" w:color="auto"/>
              <w:bottom w:val="single" w:sz="4" w:space="0" w:color="auto"/>
              <w:right w:val="single" w:sz="4" w:space="0" w:color="auto"/>
            </w:tcBorders>
            <w:vAlign w:val="center"/>
          </w:tcPr>
          <w:p w14:paraId="13AF991D"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291B996" w14:textId="77777777" w:rsidR="00B7285B" w:rsidRDefault="00B7285B">
            <w:pPr>
              <w:spacing w:after="200" w:line="276" w:lineRule="auto"/>
              <w:ind w:left="20"/>
              <w:rPr>
                <w:lang w:eastAsia="en-GB"/>
              </w:rPr>
            </w:pPr>
            <w:r>
              <w:rPr>
                <w:lang w:eastAsia="en-GB"/>
              </w:rPr>
              <w:t xml:space="preserve">What data were received/processed/collected? </w:t>
            </w:r>
          </w:p>
          <w:p w14:paraId="3B899758" w14:textId="77777777" w:rsidR="00B7285B" w:rsidRDefault="00B7285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87FDB5E" w14:textId="77777777" w:rsidR="00B7285B" w:rsidRDefault="00B7285B">
            <w:pPr>
              <w:rPr>
                <w:lang w:eastAsia="en-GB"/>
              </w:rPr>
            </w:pPr>
            <w:r>
              <w:rPr>
                <w:lang w:eastAsia="en-GB"/>
              </w:rPr>
              <w:t xml:space="preserve">Prescribing Information System and Demographic file data for 2009-2016. The data was largely as expected though ultimately the final analyses only used 2009-2013 data, because of limitations in the ability to process larger amounts of data within the National Safe Haven. </w:t>
            </w:r>
          </w:p>
        </w:tc>
      </w:tr>
      <w:tr w:rsidR="00B7285B" w14:paraId="3927DE6E"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F4E82E" w14:textId="77777777" w:rsidR="00B7285B" w:rsidRDefault="00B7285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7BF218" w14:textId="77777777" w:rsidR="00B7285B" w:rsidRDefault="00B7285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036433" w14:textId="77777777" w:rsidR="00B7285B" w:rsidRDefault="00B7285B">
            <w:pPr>
              <w:spacing w:after="200" w:line="276" w:lineRule="auto"/>
              <w:ind w:left="360"/>
              <w:rPr>
                <w:lang w:eastAsia="en-GB"/>
              </w:rPr>
            </w:pPr>
          </w:p>
        </w:tc>
      </w:tr>
      <w:tr w:rsidR="00B7285B" w14:paraId="456251D9" w14:textId="77777777" w:rsidTr="00B7285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98CFD00"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0D2B713" w14:textId="77777777" w:rsidR="00B7285B" w:rsidRDefault="00B7285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EC63814" w14:textId="77777777" w:rsidR="00B7285B" w:rsidRDefault="00B7285B">
            <w:pPr>
              <w:spacing w:line="360" w:lineRule="auto"/>
              <w:rPr>
                <w:lang w:eastAsia="en-GB"/>
              </w:rPr>
            </w:pPr>
            <w:r>
              <w:rPr>
                <w:lang w:eastAsia="en-GB"/>
              </w:rPr>
              <w:t>Data was collected by Public Health Scotland (PHS)</w:t>
            </w:r>
          </w:p>
        </w:tc>
      </w:tr>
      <w:tr w:rsidR="00B7285B" w14:paraId="073D751E" w14:textId="77777777" w:rsidTr="00B7285B">
        <w:trPr>
          <w:trHeight w:hRule="exac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AD1F7" w14:textId="77777777" w:rsidR="00B7285B" w:rsidRDefault="00B7285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685CC4B" w14:textId="77777777" w:rsidR="00B7285B" w:rsidRDefault="00B7285B">
            <w:pPr>
              <w:spacing w:after="200" w:line="276" w:lineRule="auto"/>
              <w:ind w:left="20"/>
              <w:rPr>
                <w:lang w:eastAsia="en-GB"/>
              </w:rPr>
            </w:pPr>
            <w:r>
              <w:rPr>
                <w:lang w:eastAsia="en-GB"/>
              </w:rPr>
              <w:t xml:space="preserve">How did you process the data? </w:t>
            </w:r>
          </w:p>
          <w:p w14:paraId="45FB31BD" w14:textId="77777777" w:rsidR="00B7285B" w:rsidRDefault="00B7285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0AFE6FE" w14:textId="77777777" w:rsidR="00B7285B" w:rsidRDefault="00B7285B">
            <w:pPr>
              <w:spacing w:after="200"/>
              <w:ind w:left="20"/>
              <w:rPr>
                <w:lang w:eastAsia="en-GB"/>
              </w:rPr>
            </w:pPr>
            <w:r>
              <w:rPr>
                <w:lang w:eastAsia="en-GB"/>
              </w:rPr>
              <w:t xml:space="preserve">Data was processed in the National Safe Haven using StataMP 16 </w:t>
            </w:r>
          </w:p>
        </w:tc>
      </w:tr>
      <w:tr w:rsidR="00B7285B" w14:paraId="05D5629E" w14:textId="77777777" w:rsidTr="00B7285B">
        <w:trPr>
          <w:trHeight w:hRule="exact" w:val="1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2C761" w14:textId="77777777" w:rsidR="00B7285B" w:rsidRDefault="00B7285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67B904" w14:textId="77777777" w:rsidR="00B7285B" w:rsidRDefault="00B7285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831B40E" w14:textId="77777777" w:rsidR="00B7285B" w:rsidRDefault="00B7285B">
            <w:pPr>
              <w:rPr>
                <w:lang w:eastAsia="en-GB"/>
              </w:rPr>
            </w:pPr>
            <w:r>
              <w:rPr>
                <w:lang w:eastAsia="en-GB"/>
              </w:rPr>
              <w:t xml:space="preserve">Aggregated results were released from the National Safe Haven following their established protocols. Key findings based on these aggregated results will eventually be published in a research report for SPICe. </w:t>
            </w:r>
          </w:p>
        </w:tc>
      </w:tr>
      <w:tr w:rsidR="00B7285B" w14:paraId="501A3FD2" w14:textId="77777777" w:rsidTr="00B7285B">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4FF98" w14:textId="77777777" w:rsidR="00B7285B" w:rsidRDefault="00B7285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A3E4CE7" w14:textId="77777777" w:rsidR="00B7285B" w:rsidRDefault="00B7285B">
            <w:pPr>
              <w:spacing w:after="200" w:line="276" w:lineRule="auto"/>
              <w:ind w:left="20"/>
              <w:rPr>
                <w:lang w:eastAsia="en-GB"/>
              </w:rPr>
            </w:pPr>
            <w:r>
              <w:rPr>
                <w:lang w:eastAsia="en-GB"/>
              </w:rPr>
              <w:t>Did your study scope change from its original aims? Please give brief details.</w:t>
            </w:r>
          </w:p>
          <w:p w14:paraId="6318F5DC" w14:textId="77777777" w:rsidR="00B7285B" w:rsidRDefault="00B7285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F9CDEC0" w14:textId="77777777" w:rsidR="00B7285B" w:rsidRDefault="00B7285B">
            <w:pPr>
              <w:spacing w:line="360" w:lineRule="auto"/>
              <w:rPr>
                <w:lang w:eastAsia="en-GB"/>
              </w:rPr>
            </w:pPr>
            <w:r>
              <w:rPr>
                <w:lang w:eastAsia="en-GB"/>
              </w:rPr>
              <w:t>No.</w:t>
            </w:r>
          </w:p>
        </w:tc>
      </w:tr>
      <w:tr w:rsidR="00B7285B" w14:paraId="3FC61890"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0F2D7D" w14:textId="77777777" w:rsidR="00B7285B" w:rsidRDefault="00B7285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50D1DA" w14:textId="77777777" w:rsidR="00B7285B" w:rsidRDefault="00B7285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8F6FEF" w14:textId="77777777" w:rsidR="00B7285B" w:rsidRDefault="00B7285B">
            <w:pPr>
              <w:spacing w:after="200" w:line="276" w:lineRule="auto"/>
              <w:ind w:left="360"/>
              <w:rPr>
                <w:lang w:eastAsia="en-GB"/>
              </w:rPr>
            </w:pPr>
          </w:p>
        </w:tc>
      </w:tr>
      <w:tr w:rsidR="00B7285B" w14:paraId="5CFDC586" w14:textId="77777777" w:rsidTr="00B7285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DA92601"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23B819" w14:textId="77777777" w:rsidR="00B7285B" w:rsidRDefault="00B7285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6E5A78B6" w14:textId="77777777" w:rsidR="00B7285B" w:rsidRDefault="00B7285B">
            <w:pPr>
              <w:rPr>
                <w:lang w:eastAsia="en-GB"/>
              </w:rPr>
            </w:pPr>
            <w:r>
              <w:rPr>
                <w:lang w:eastAsia="en-GB"/>
              </w:rPr>
              <w:t xml:space="preserve">The study found that the prescription charge elimination policy led to small increases in prescribing and dispensing rates among those previously subject to a charge relative to those not previously subject to a charge. </w:t>
            </w:r>
          </w:p>
          <w:p w14:paraId="1FD5D1F5" w14:textId="77777777" w:rsidR="00B7285B" w:rsidRDefault="00B7285B">
            <w:pPr>
              <w:rPr>
                <w:lang w:eastAsia="en-GB"/>
              </w:rPr>
            </w:pPr>
          </w:p>
          <w:p w14:paraId="68E476F3" w14:textId="77777777" w:rsidR="00B7285B" w:rsidRDefault="00B7285B">
            <w:pPr>
              <w:rPr>
                <w:lang w:eastAsia="en-GB"/>
              </w:rPr>
            </w:pPr>
            <w:r>
              <w:rPr>
                <w:lang w:eastAsia="en-GB"/>
              </w:rPr>
              <w:t>Importantly, the findings also indicated that, among those previously subject to charges, the policy had a greater protective effect for those residing in areas of greater deprivation. This finding suggests positive equity impacts of the policy and aligns with the global literature on the impacts of cost sharing on utilisation among those with lower incomes (Luiza et al, 2015).</w:t>
            </w:r>
          </w:p>
          <w:p w14:paraId="1FB4250A" w14:textId="77777777" w:rsidR="00B7285B" w:rsidRDefault="00B7285B">
            <w:pPr>
              <w:rPr>
                <w:lang w:eastAsia="en-GB"/>
              </w:rPr>
            </w:pPr>
          </w:p>
        </w:tc>
      </w:tr>
      <w:tr w:rsidR="00B7285B" w14:paraId="5625C421" w14:textId="77777777" w:rsidTr="00B7285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8F9E2B" w14:textId="77777777" w:rsidR="00B7285B" w:rsidRDefault="00B7285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B38E18" w14:textId="77777777" w:rsidR="00B7285B" w:rsidRDefault="00B7285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5F0A95" w14:textId="77777777" w:rsidR="00B7285B" w:rsidRDefault="00B7285B">
            <w:pPr>
              <w:spacing w:after="200" w:line="276" w:lineRule="auto"/>
              <w:ind w:left="360"/>
              <w:rPr>
                <w:lang w:eastAsia="en-GB"/>
              </w:rPr>
            </w:pPr>
          </w:p>
        </w:tc>
      </w:tr>
      <w:tr w:rsidR="00B7285B" w14:paraId="4F9B0ADE" w14:textId="77777777" w:rsidTr="00B7285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1E20334" w14:textId="77777777" w:rsidR="00B7285B" w:rsidRDefault="00B7285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6A193DE" w14:textId="77777777" w:rsidR="00B7285B" w:rsidRDefault="00B7285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FB28B6A" w14:textId="77777777" w:rsidR="00B7285B" w:rsidRDefault="00B7285B">
            <w:pPr>
              <w:rPr>
                <w:lang w:eastAsia="en-GB"/>
              </w:rPr>
            </w:pPr>
            <w:r>
              <w:rPr>
                <w:lang w:eastAsia="en-GB"/>
              </w:rPr>
              <w:t xml:space="preserve">Future work might connect the PIS and demographic data to healthcare utilisation data, to understand the longer-term impact on health outcomes of charge removal. The impact on health outcomes was beyond the scope of this investigation. </w:t>
            </w:r>
          </w:p>
        </w:tc>
      </w:tr>
    </w:tbl>
    <w:p w14:paraId="09FCCAAE" w14:textId="77777777" w:rsidR="00B7285B" w:rsidRDefault="00B7285B" w:rsidP="00B7285B">
      <w:pPr>
        <w:spacing w:line="240" w:lineRule="auto"/>
        <w:ind w:left="-851"/>
        <w:rPr>
          <w:rFonts w:ascii="Arial" w:eastAsia="Times New Roman" w:hAnsi="Arial" w:cs="Arial"/>
          <w:lang w:eastAsia="en-GB"/>
        </w:rPr>
      </w:pPr>
    </w:p>
    <w:p w14:paraId="70D12A82" w14:textId="77777777" w:rsidR="00B7285B" w:rsidRDefault="00B7285B" w:rsidP="00B7285B"/>
    <w:p w14:paraId="3E39C716" w14:textId="77777777" w:rsidR="00B7285B" w:rsidRPr="00B7285B" w:rsidRDefault="00B7285B" w:rsidP="00B7285B"/>
    <w:p w14:paraId="48FC02F8" w14:textId="77777777" w:rsidR="00772F4D" w:rsidRDefault="00772F4D" w:rsidP="00772F4D">
      <w:pPr>
        <w:pStyle w:val="Heading2"/>
        <w:rPr>
          <w:rFonts w:eastAsia="Times New Roman"/>
        </w:rPr>
      </w:pPr>
      <w:bookmarkStart w:id="28" w:name="_1920-0240"/>
      <w:bookmarkEnd w:id="28"/>
      <w:r>
        <w:rPr>
          <w:rFonts w:eastAsia="Times New Roman"/>
        </w:rPr>
        <w:t>1920-0240</w:t>
      </w:r>
    </w:p>
    <w:p w14:paraId="070AB878" w14:textId="77777777" w:rsidR="00772F4D" w:rsidRPr="00823B34" w:rsidRDefault="00772F4D" w:rsidP="00772F4D">
      <w:pPr>
        <w:rPr>
          <w:rFonts w:eastAsia="Times New Roman" w:cstheme="minorHAnsi"/>
          <w:b/>
          <w:bCs/>
          <w:sz w:val="24"/>
          <w:szCs w:val="24"/>
        </w:rPr>
      </w:pPr>
      <w:r w:rsidRPr="00823B34">
        <w:rPr>
          <w:rFonts w:eastAsia="Times New Roman" w:cstheme="minorHAnsi"/>
          <w:b/>
          <w:bCs/>
          <w:sz w:val="24"/>
          <w:szCs w:val="24"/>
        </w:rPr>
        <w:t>Deaths in Detention Reviews Project (DIDR)</w:t>
      </w:r>
    </w:p>
    <w:p w14:paraId="415374F0" w14:textId="77777777" w:rsidR="00772F4D" w:rsidRPr="00823B34" w:rsidRDefault="00772F4D" w:rsidP="00772F4D">
      <w:pPr>
        <w:rPr>
          <w:rFonts w:eastAsia="Times New Roman" w:cstheme="minorHAnsi"/>
          <w:b/>
          <w:bCs/>
          <w:sz w:val="24"/>
          <w:szCs w:val="24"/>
        </w:rPr>
      </w:pPr>
      <w:bookmarkStart w:id="29" w:name="_Hlk170283292"/>
      <w:r w:rsidRPr="00823B34">
        <w:rPr>
          <w:rFonts w:eastAsia="Times New Roman" w:cstheme="minorHAnsi"/>
          <w:b/>
          <w:bCs/>
          <w:sz w:val="24"/>
          <w:szCs w:val="24"/>
        </w:rPr>
        <w:t>End of Project Report</w:t>
      </w:r>
    </w:p>
    <w:bookmarkEnd w:id="29"/>
    <w:p w14:paraId="39B9EE82" w14:textId="77777777" w:rsidR="00772F4D" w:rsidRPr="00823B34" w:rsidRDefault="00772F4D" w:rsidP="00772F4D">
      <w:pPr>
        <w:rPr>
          <w:rFonts w:eastAsia="Times New Roman" w:cstheme="minorHAnsi"/>
          <w:b/>
          <w:bCs/>
          <w:sz w:val="24"/>
          <w:szCs w:val="24"/>
        </w:rPr>
      </w:pPr>
      <w:r w:rsidRPr="00823B34">
        <w:rPr>
          <w:rFonts w:eastAsia="Times New Roman" w:cstheme="minorHAnsi"/>
          <w:b/>
          <w:bCs/>
          <w:sz w:val="24"/>
          <w:szCs w:val="24"/>
        </w:rPr>
        <w:t>End of Project Report and Benefit Summary</w:t>
      </w:r>
    </w:p>
    <w:p w14:paraId="2CFFCA78" w14:textId="77777777" w:rsidR="00772F4D" w:rsidRPr="00823B34" w:rsidRDefault="00772F4D" w:rsidP="00772F4D">
      <w:pPr>
        <w:rPr>
          <w:rFonts w:eastAsia="Times New Roman" w:cstheme="minorHAnsi"/>
        </w:rPr>
      </w:pPr>
      <w:r w:rsidRPr="00823B34">
        <w:rPr>
          <w:rFonts w:eastAsia="Times New Roman" w:cstheme="minorHAnsi"/>
        </w:rPr>
        <w:t>Aims: What did the study set out to achieve?</w:t>
      </w:r>
    </w:p>
    <w:p w14:paraId="6C071DE1" w14:textId="77777777" w:rsidR="00772F4D" w:rsidRPr="00823B34" w:rsidRDefault="00772F4D" w:rsidP="00772F4D">
      <w:pPr>
        <w:rPr>
          <w:rFonts w:eastAsia="Times New Roman" w:cstheme="minorHAnsi"/>
        </w:rPr>
      </w:pPr>
      <w:r w:rsidRPr="00823B34">
        <w:rPr>
          <w:rFonts w:eastAsia="Times New Roman" w:cstheme="minorHAnsi"/>
        </w:rPr>
        <w:t>The project aimed to establish a baseline dataset to inform the development of a new system for reviewing and reporting on deaths of individuals who, at the time of death, were subject to an order under either the Mental Health (Care and Treatment) (Scotland) Act 2003 or part VI of the Criminal Procedure (Scotland) Act 1995 (whether in hospital or in the community, including those who had their detention suspended). The data will aid us in our duty to monitor the outcome of detention mental health law in Scotland. The overall project was funded by Scottish Government.</w:t>
      </w:r>
    </w:p>
    <w:p w14:paraId="68123B18" w14:textId="77777777" w:rsidR="00772F4D" w:rsidRPr="00823B34" w:rsidRDefault="00772F4D" w:rsidP="00772F4D">
      <w:pPr>
        <w:rPr>
          <w:rFonts w:eastAsia="Times New Roman" w:cstheme="minorHAnsi"/>
        </w:rPr>
      </w:pPr>
      <w:r w:rsidRPr="00823B34">
        <w:rPr>
          <w:rFonts w:eastAsia="Times New Roman" w:cstheme="minorHAnsi"/>
        </w:rPr>
        <w:lastRenderedPageBreak/>
        <w:t>The Mental Welfare Commission for Scotland holds the Scottish national dataset on patients who are detained under the Mental Health (Care and Treatment) (Scotland) Act 2003, or the Criminal Procedure (Scotland) Act 1995.  This data can be partial or incomplete.</w:t>
      </w:r>
    </w:p>
    <w:p w14:paraId="1E71F963" w14:textId="77777777" w:rsidR="00772F4D" w:rsidRPr="00823B34" w:rsidRDefault="00772F4D" w:rsidP="00772F4D">
      <w:pPr>
        <w:rPr>
          <w:rFonts w:eastAsia="Times New Roman" w:cstheme="minorHAnsi"/>
        </w:rPr>
      </w:pPr>
      <w:r w:rsidRPr="00823B34">
        <w:rPr>
          <w:rFonts w:eastAsia="Times New Roman" w:cstheme="minorHAnsi"/>
        </w:rPr>
        <w:t>We aimed to audit our data to :</w:t>
      </w:r>
    </w:p>
    <w:p w14:paraId="15791380" w14:textId="77777777" w:rsidR="00772F4D" w:rsidRPr="00823B34" w:rsidRDefault="00772F4D" w:rsidP="00772F4D">
      <w:pPr>
        <w:rPr>
          <w:rFonts w:eastAsia="Times New Roman" w:cstheme="minorHAnsi"/>
        </w:rPr>
      </w:pPr>
      <w:r w:rsidRPr="00823B34">
        <w:rPr>
          <w:rFonts w:eastAsia="Times New Roman" w:cstheme="minorHAnsi"/>
        </w:rPr>
        <w:t>•</w:t>
      </w:r>
      <w:r w:rsidRPr="00823B34">
        <w:rPr>
          <w:rFonts w:eastAsia="Times New Roman" w:cstheme="minorHAnsi"/>
        </w:rPr>
        <w:tab/>
        <w:t>Clarify how information on deaths of people who have been detained for the care and treatment of their mental health are recorded and reported and make suggestions for improvement.</w:t>
      </w:r>
    </w:p>
    <w:p w14:paraId="60EDC261" w14:textId="77777777" w:rsidR="00772F4D" w:rsidRPr="00823B34" w:rsidRDefault="00772F4D" w:rsidP="00772F4D">
      <w:pPr>
        <w:rPr>
          <w:rFonts w:eastAsia="Times New Roman" w:cstheme="minorHAnsi"/>
        </w:rPr>
      </w:pPr>
      <w:r w:rsidRPr="00823B34">
        <w:rPr>
          <w:rFonts w:eastAsia="Times New Roman" w:cstheme="minorHAnsi"/>
        </w:rPr>
        <w:t>•</w:t>
      </w:r>
      <w:r w:rsidRPr="00823B34">
        <w:rPr>
          <w:rFonts w:eastAsia="Times New Roman" w:cstheme="minorHAnsi"/>
        </w:rPr>
        <w:tab/>
        <w:t>Report more fully on deaths in detention, and access to healthcare in previous months, and make recommendations about how such deaths are reported on in future.</w:t>
      </w:r>
    </w:p>
    <w:p w14:paraId="1C46FBE0" w14:textId="77777777" w:rsidR="00772F4D" w:rsidRPr="00823B34" w:rsidRDefault="00772F4D" w:rsidP="00772F4D">
      <w:pPr>
        <w:rPr>
          <w:rFonts w:eastAsia="Times New Roman" w:cstheme="minorHAnsi"/>
        </w:rPr>
      </w:pPr>
      <w:r w:rsidRPr="00823B34">
        <w:rPr>
          <w:rFonts w:eastAsia="Times New Roman" w:cstheme="minorHAnsi"/>
        </w:rPr>
        <w:t>•</w:t>
      </w:r>
      <w:r w:rsidRPr="00823B34">
        <w:rPr>
          <w:rFonts w:eastAsia="Times New Roman" w:cstheme="minorHAnsi"/>
        </w:rPr>
        <w:tab/>
        <w:t>Explore the usefulness of extending the routine collection of data to include people who die in the 4 weeks period after detention</w:t>
      </w:r>
    </w:p>
    <w:p w14:paraId="6A3984C8" w14:textId="77777777" w:rsidR="00772F4D" w:rsidRPr="00823B34" w:rsidRDefault="00772F4D" w:rsidP="00772F4D">
      <w:pPr>
        <w:rPr>
          <w:rFonts w:eastAsia="Times New Roman" w:cstheme="minorHAnsi"/>
        </w:rPr>
      </w:pPr>
      <w:r w:rsidRPr="00823B34">
        <w:rPr>
          <w:rFonts w:eastAsia="Times New Roman" w:cstheme="minorHAnsi"/>
        </w:rPr>
        <w:t>Public Benefit and Impact  How did/will these outcomes directly result in benefit for the public?</w:t>
      </w:r>
    </w:p>
    <w:p w14:paraId="3BA7E6A4" w14:textId="77777777" w:rsidR="00772F4D" w:rsidRPr="00823B34" w:rsidRDefault="00772F4D" w:rsidP="00772F4D">
      <w:pPr>
        <w:rPr>
          <w:rFonts w:eastAsia="Times New Roman" w:cstheme="minorHAnsi"/>
        </w:rPr>
      </w:pPr>
      <w:r w:rsidRPr="00823B34">
        <w:rPr>
          <w:rFonts w:eastAsia="Times New Roman" w:cstheme="minorHAnsi"/>
        </w:rPr>
        <w:t xml:space="preserve">The project informed development of the Commission’s business case proposal to Scottish Government for implementation of a new system for investigating deaths including how such deaths are notified and reported on in future. </w:t>
      </w:r>
    </w:p>
    <w:p w14:paraId="3347F054" w14:textId="77777777" w:rsidR="00772F4D" w:rsidRPr="00823B34" w:rsidRDefault="00772F4D" w:rsidP="00772F4D">
      <w:pPr>
        <w:rPr>
          <w:rFonts w:eastAsia="Times New Roman" w:cstheme="minorHAnsi"/>
        </w:rPr>
      </w:pPr>
      <w:r w:rsidRPr="00823B34">
        <w:rPr>
          <w:rFonts w:eastAsia="Times New Roman" w:cstheme="minorHAnsi"/>
        </w:rPr>
        <w:t xml:space="preserve">The detailed examination of individual cases, identified via data linking (i.e. cases not otherwise known to the Commission), and exploration of previous pattern of treatment, has helped to identify shortfall in the existing system and to inform improvements. </w:t>
      </w:r>
    </w:p>
    <w:p w14:paraId="69DB9CAE" w14:textId="77777777" w:rsidR="00772F4D" w:rsidRPr="00823B34" w:rsidRDefault="00772F4D" w:rsidP="00772F4D">
      <w:pPr>
        <w:rPr>
          <w:rFonts w:eastAsia="Times New Roman" w:cstheme="minorHAnsi"/>
        </w:rPr>
      </w:pPr>
      <w:r w:rsidRPr="00823B34">
        <w:rPr>
          <w:rFonts w:eastAsia="Times New Roman" w:cstheme="minorHAnsi"/>
        </w:rPr>
        <w:t>We found that 6.7% of deaths in detention were not being notified to the Commission. The linked data provides a baseline data set against which the new system can be monitored.</w:t>
      </w:r>
    </w:p>
    <w:p w14:paraId="2916BB12" w14:textId="77777777" w:rsidR="00772F4D" w:rsidRPr="00823B34" w:rsidRDefault="00772F4D" w:rsidP="00772F4D">
      <w:pPr>
        <w:rPr>
          <w:rFonts w:eastAsia="Times New Roman" w:cstheme="minorHAnsi"/>
        </w:rPr>
      </w:pPr>
      <w:r w:rsidRPr="00823B34">
        <w:rPr>
          <w:rFonts w:eastAsia="Times New Roman" w:cstheme="minorHAnsi"/>
        </w:rPr>
        <w:t xml:space="preserve">The publication of aggregate data, via the Commission website, in monitoring reports, will provide the first national level data on deaths in detention and characteristics of the individuals concerned e.g. aggregate data on gender, age group, ethnicity. www.mwcscot.org.uk </w:t>
      </w:r>
    </w:p>
    <w:p w14:paraId="68135EAE" w14:textId="77777777" w:rsidR="00772F4D" w:rsidRPr="00823B34" w:rsidRDefault="00772F4D" w:rsidP="00772F4D">
      <w:pPr>
        <w:rPr>
          <w:rFonts w:eastAsia="Times New Roman" w:cstheme="minorHAnsi"/>
        </w:rPr>
      </w:pPr>
      <w:r w:rsidRPr="00823B34">
        <w:rPr>
          <w:rFonts w:eastAsia="Times New Roman" w:cstheme="minorHAnsi"/>
        </w:rPr>
        <w:t>Data: What data were received/processed/collected? Was it as expected?</w:t>
      </w:r>
    </w:p>
    <w:p w14:paraId="4A241B71" w14:textId="77777777" w:rsidR="00772F4D" w:rsidRPr="00823B34" w:rsidRDefault="00772F4D" w:rsidP="00772F4D">
      <w:pPr>
        <w:rPr>
          <w:rFonts w:eastAsia="Times New Roman" w:cstheme="minorHAnsi"/>
        </w:rPr>
      </w:pPr>
      <w:r w:rsidRPr="00823B34">
        <w:rPr>
          <w:rFonts w:eastAsia="Times New Roman" w:cstheme="minorHAnsi"/>
        </w:rPr>
        <w:t xml:space="preserve">A download was taken from the Commission’s database of mental health orders. </w:t>
      </w:r>
    </w:p>
    <w:p w14:paraId="663D9CE8" w14:textId="77777777" w:rsidR="00772F4D" w:rsidRPr="00823B34" w:rsidRDefault="00772F4D" w:rsidP="00772F4D">
      <w:pPr>
        <w:rPr>
          <w:rFonts w:eastAsia="Times New Roman" w:cstheme="minorHAnsi"/>
        </w:rPr>
      </w:pPr>
      <w:r w:rsidRPr="00823B34">
        <w:rPr>
          <w:rFonts w:eastAsia="Times New Roman" w:cstheme="minorHAnsi"/>
        </w:rPr>
        <w:t xml:space="preserve">This was matched via PHS with datasets: NRS Deaths, SMR00-Outpatient attendance, SMR01-Inpatients, SMR04-Mental Health Inpatients, SMR25/SDMD –Drugs misuse and ScotSID (Scottish Suicide Information Database). </w:t>
      </w:r>
    </w:p>
    <w:p w14:paraId="64B96ED5" w14:textId="77777777" w:rsidR="00772F4D" w:rsidRPr="00823B34" w:rsidRDefault="00772F4D" w:rsidP="00772F4D">
      <w:pPr>
        <w:rPr>
          <w:rFonts w:eastAsia="Times New Roman" w:cstheme="minorHAnsi"/>
        </w:rPr>
      </w:pPr>
      <w:r w:rsidRPr="00823B34">
        <w:rPr>
          <w:rFonts w:eastAsia="Times New Roman" w:cstheme="minorHAnsi"/>
        </w:rPr>
        <w:t xml:space="preserve">The data was received and processed as was expected and in line with the approved PBPP application. The data for the SMR25-SDMD dataset arrived later than originally anticipated (i.e. mid March 2022), and analysis work is continuing on this. </w:t>
      </w:r>
    </w:p>
    <w:p w14:paraId="38DDD991" w14:textId="77777777" w:rsidR="00772F4D" w:rsidRPr="00823B34" w:rsidRDefault="00772F4D" w:rsidP="00772F4D">
      <w:pPr>
        <w:rPr>
          <w:rFonts w:eastAsia="Times New Roman" w:cstheme="minorHAnsi"/>
        </w:rPr>
      </w:pPr>
      <w:r w:rsidRPr="00823B34">
        <w:rPr>
          <w:rFonts w:eastAsia="Times New Roman" w:cstheme="minorHAnsi"/>
        </w:rPr>
        <w:t xml:space="preserve">The issue of Significant Adverse Event Reviews following deaths in detention has been examined from a practice perspective. Due to inconsistency of data available on this and the level of administrative burden on the Commission it proved not possible to report quantitatively on this.  </w:t>
      </w:r>
    </w:p>
    <w:p w14:paraId="31F050A4" w14:textId="77777777" w:rsidR="00772F4D" w:rsidRPr="00823B34" w:rsidRDefault="00772F4D" w:rsidP="00772F4D">
      <w:pPr>
        <w:rPr>
          <w:rFonts w:eastAsia="Times New Roman" w:cstheme="minorHAnsi"/>
        </w:rPr>
      </w:pPr>
      <w:r w:rsidRPr="00823B34">
        <w:rPr>
          <w:rFonts w:eastAsia="Times New Roman" w:cstheme="minorHAnsi"/>
        </w:rPr>
        <w:t>Methodology: How did you collect the data? How did you process the data? How did you publish the information? Did your study scope change from its original aims?</w:t>
      </w:r>
    </w:p>
    <w:p w14:paraId="6B52698F" w14:textId="77777777" w:rsidR="00772F4D" w:rsidRPr="00823B34" w:rsidRDefault="00772F4D" w:rsidP="00772F4D">
      <w:pPr>
        <w:rPr>
          <w:rFonts w:eastAsia="Times New Roman" w:cstheme="minorHAnsi"/>
        </w:rPr>
      </w:pPr>
      <w:r w:rsidRPr="00823B34">
        <w:rPr>
          <w:rFonts w:eastAsia="Times New Roman" w:cstheme="minorHAnsi"/>
        </w:rPr>
        <w:lastRenderedPageBreak/>
        <w:t xml:space="preserve">Data was analysed via Excel to map the accuracy of the Commission records against NRS Death records for people fulfilling the inclusion criteria. (All deaths occurring 1st Jan 2015 to 30 Apr 2020 whilst subject to a compulsory order or within one month of an order ceasing to apply. Several years’ data allowed us to include cases which would occur infrequently (e.g. deaths of persons with learning disabilities under detention, cases from smaller health boards).  </w:t>
      </w:r>
    </w:p>
    <w:p w14:paraId="53A885D0" w14:textId="77777777" w:rsidR="00772F4D" w:rsidRPr="00823B34" w:rsidRDefault="00772F4D" w:rsidP="00772F4D">
      <w:pPr>
        <w:rPr>
          <w:rFonts w:eastAsia="Times New Roman" w:cstheme="minorHAnsi"/>
        </w:rPr>
      </w:pPr>
      <w:r w:rsidRPr="00823B34">
        <w:rPr>
          <w:rFonts w:eastAsia="Times New Roman" w:cstheme="minorHAnsi"/>
        </w:rPr>
        <w:t>The analysis entailed univariate and bivariate descriptive statistics e.g. notified or not notified to the Commission/ on an order at death or death one month post order - by  e.g. order at death, location, age gender, health board.</w:t>
      </w:r>
    </w:p>
    <w:p w14:paraId="032267F0" w14:textId="77777777" w:rsidR="00772F4D" w:rsidRPr="00823B34" w:rsidRDefault="00772F4D" w:rsidP="00772F4D">
      <w:pPr>
        <w:rPr>
          <w:rFonts w:eastAsia="Times New Roman" w:cstheme="minorHAnsi"/>
        </w:rPr>
      </w:pPr>
      <w:r w:rsidRPr="00823B34">
        <w:rPr>
          <w:rFonts w:eastAsia="Times New Roman" w:cstheme="minorHAnsi"/>
        </w:rPr>
        <w:t xml:space="preserve">Matching the cohort with other PHS data sets and exploration of individual cases on the Commission database enabled exploration of questions around the individual context of death (natural, unnatural, undetermined) and reviewing processes.  </w:t>
      </w:r>
    </w:p>
    <w:p w14:paraId="59FA20D4" w14:textId="77777777" w:rsidR="00772F4D" w:rsidRPr="00823B34" w:rsidRDefault="00772F4D" w:rsidP="00772F4D">
      <w:pPr>
        <w:rPr>
          <w:rFonts w:eastAsia="Times New Roman" w:cstheme="minorHAnsi"/>
        </w:rPr>
      </w:pPr>
      <w:r w:rsidRPr="00823B34">
        <w:rPr>
          <w:rFonts w:eastAsia="Times New Roman" w:cstheme="minorHAnsi"/>
        </w:rPr>
        <w:t xml:space="preserve">Outcomes: </w:t>
      </w:r>
    </w:p>
    <w:p w14:paraId="6BCA3929" w14:textId="77777777" w:rsidR="00772F4D" w:rsidRPr="00823B34" w:rsidRDefault="00772F4D" w:rsidP="00772F4D">
      <w:pPr>
        <w:rPr>
          <w:rFonts w:eastAsia="Times New Roman" w:cstheme="minorHAnsi"/>
        </w:rPr>
      </w:pPr>
      <w:r w:rsidRPr="00823B34">
        <w:rPr>
          <w:rFonts w:eastAsia="Times New Roman" w:cstheme="minorHAnsi"/>
        </w:rPr>
        <w:t>An initial brief summary of top level data was published in the Commission’s consultation paper on proposals for the new system to review these deaths.(08/12/21)</w:t>
      </w:r>
    </w:p>
    <w:p w14:paraId="47FFCA10" w14:textId="77777777" w:rsidR="00772F4D" w:rsidRPr="00823B34" w:rsidRDefault="00772F4D" w:rsidP="00772F4D">
      <w:pPr>
        <w:rPr>
          <w:rFonts w:eastAsia="Times New Roman" w:cstheme="minorHAnsi"/>
        </w:rPr>
      </w:pPr>
      <w:r w:rsidRPr="00823B34">
        <w:rPr>
          <w:rFonts w:eastAsia="Times New Roman" w:cstheme="minorHAnsi"/>
        </w:rPr>
        <w:t xml:space="preserve">https://www.mwcscot.org.uk/news/new-consultation-investigating-deaths-during-compulsory-care-and-treatment-under-mental-health </w:t>
      </w:r>
    </w:p>
    <w:p w14:paraId="3AF79E81" w14:textId="77777777" w:rsidR="00772F4D" w:rsidRPr="00823B34" w:rsidRDefault="00772F4D" w:rsidP="00772F4D">
      <w:pPr>
        <w:rPr>
          <w:rFonts w:eastAsia="Times New Roman" w:cstheme="minorHAnsi"/>
        </w:rPr>
      </w:pPr>
      <w:r w:rsidRPr="00823B34">
        <w:rPr>
          <w:rFonts w:eastAsia="Times New Roman" w:cstheme="minorHAnsi"/>
        </w:rPr>
        <w:t>A brief summary was also included in the Commission’s end of project report and proposals to the Scottish Government (by 31 March 2022) (Publication date to be advised).</w:t>
      </w:r>
    </w:p>
    <w:p w14:paraId="48889AC5" w14:textId="77777777" w:rsidR="00772F4D" w:rsidRPr="00823B34" w:rsidRDefault="00772F4D" w:rsidP="00772F4D">
      <w:pPr>
        <w:rPr>
          <w:rFonts w:eastAsia="Times New Roman" w:cstheme="minorHAnsi"/>
        </w:rPr>
      </w:pPr>
      <w:r w:rsidRPr="00823B34">
        <w:rPr>
          <w:rFonts w:eastAsia="Times New Roman" w:cstheme="minorHAnsi"/>
        </w:rPr>
        <w:t xml:space="preserve">Brief aggregated data has been shared with Health Improvement Scotland Adverse Events Review team. </w:t>
      </w:r>
    </w:p>
    <w:p w14:paraId="3BA66496" w14:textId="77777777" w:rsidR="00772F4D" w:rsidRPr="00823B34" w:rsidRDefault="00772F4D" w:rsidP="00772F4D">
      <w:pPr>
        <w:rPr>
          <w:rFonts w:eastAsia="Times New Roman" w:cstheme="minorHAnsi"/>
        </w:rPr>
      </w:pPr>
      <w:r w:rsidRPr="00823B34">
        <w:rPr>
          <w:rFonts w:eastAsia="Times New Roman" w:cstheme="minorHAnsi"/>
        </w:rPr>
        <w:t xml:space="preserve">Brief aggregate data has been shared with the Commission participation and engagement officer (carers) for the bereaved carer view.  </w:t>
      </w:r>
    </w:p>
    <w:p w14:paraId="796DB358" w14:textId="77777777" w:rsidR="00772F4D" w:rsidRPr="00823B34" w:rsidRDefault="00772F4D" w:rsidP="00772F4D">
      <w:pPr>
        <w:rPr>
          <w:rFonts w:eastAsia="Times New Roman" w:cstheme="minorHAnsi"/>
        </w:rPr>
      </w:pPr>
      <w:r w:rsidRPr="00823B34">
        <w:rPr>
          <w:rFonts w:eastAsia="Times New Roman" w:cstheme="minorHAnsi"/>
        </w:rPr>
        <w:t>Future Questions: Have the processes/results raised further questions for future exploration?</w:t>
      </w:r>
    </w:p>
    <w:p w14:paraId="0086238B" w14:textId="77777777" w:rsidR="00772F4D" w:rsidRPr="00823B34" w:rsidRDefault="00772F4D" w:rsidP="00772F4D">
      <w:pPr>
        <w:rPr>
          <w:rFonts w:eastAsia="Times New Roman" w:cstheme="minorHAnsi"/>
        </w:rPr>
      </w:pPr>
      <w:r w:rsidRPr="00823B34">
        <w:rPr>
          <w:rFonts w:eastAsia="Times New Roman" w:cstheme="minorHAnsi"/>
        </w:rPr>
        <w:t>This first data-linking exercise between the Commission and PHS has proved the concept and benefit of the exercise.  The Commission will consider a request to Scottish Government for funding to repeat the exercise within the next five years.</w:t>
      </w:r>
    </w:p>
    <w:p w14:paraId="350E469E" w14:textId="77777777" w:rsidR="00772F4D" w:rsidRPr="00823B34" w:rsidRDefault="00772F4D" w:rsidP="00772F4D">
      <w:pPr>
        <w:pStyle w:val="NoSpacing"/>
        <w:rPr>
          <w:b/>
        </w:rPr>
      </w:pPr>
    </w:p>
    <w:p w14:paraId="7FB7DAEF" w14:textId="77777777" w:rsidR="00772F4D" w:rsidRDefault="00772F4D" w:rsidP="00772F4D">
      <w:pPr>
        <w:pStyle w:val="Heading2"/>
      </w:pPr>
    </w:p>
    <w:p w14:paraId="4B570FBA" w14:textId="77777777" w:rsidR="00772F4D" w:rsidRDefault="00772F4D" w:rsidP="00772F4D"/>
    <w:p w14:paraId="66032F68" w14:textId="77777777" w:rsidR="00772F4D" w:rsidRDefault="00772F4D" w:rsidP="00772F4D"/>
    <w:p w14:paraId="233E84A5" w14:textId="77777777" w:rsidR="00772F4D" w:rsidRDefault="00772F4D" w:rsidP="00772F4D"/>
    <w:p w14:paraId="115DBB0C" w14:textId="77777777" w:rsidR="004B53D4" w:rsidRDefault="004B53D4" w:rsidP="004B53D4"/>
    <w:p w14:paraId="7067DF9E" w14:textId="4C733922" w:rsidR="004B53D4" w:rsidRDefault="0064745A" w:rsidP="0064745A">
      <w:pPr>
        <w:pStyle w:val="Heading2"/>
      </w:pPr>
      <w:bookmarkStart w:id="30" w:name="_1920-0257_Julie_Landsberg"/>
      <w:bookmarkEnd w:id="30"/>
      <w:r>
        <w:t>1920-0257</w:t>
      </w:r>
      <w:r>
        <w:tab/>
        <w:t>Julie Landsberg</w:t>
      </w:r>
    </w:p>
    <w:p w14:paraId="1AE9F9F2" w14:textId="77777777" w:rsidR="00002B15" w:rsidRDefault="00002B15" w:rsidP="00002B15"/>
    <w:p w14:paraId="65C5ADC0" w14:textId="6F52C760" w:rsidR="00002B15" w:rsidRDefault="00877846" w:rsidP="00877846">
      <w:pPr>
        <w:pStyle w:val="NoSpacing"/>
        <w:rPr>
          <w:b/>
          <w:sz w:val="24"/>
          <w:szCs w:val="24"/>
        </w:rPr>
      </w:pPr>
      <w:r w:rsidRPr="00877846">
        <w:rPr>
          <w:b/>
          <w:sz w:val="24"/>
          <w:szCs w:val="24"/>
        </w:rPr>
        <w:lastRenderedPageBreak/>
        <w:t>Scottish Health Survey (SHeS)/SMR data linkage – Legal basis change</w:t>
      </w:r>
    </w:p>
    <w:p w14:paraId="76404504" w14:textId="77777777" w:rsidR="00877846" w:rsidRDefault="00877846" w:rsidP="00877846">
      <w:pPr>
        <w:pStyle w:val="NoSpacing"/>
        <w:rPr>
          <w:b/>
          <w:sz w:val="24"/>
          <w:szCs w:val="24"/>
        </w:rPr>
      </w:pPr>
    </w:p>
    <w:p w14:paraId="38CF50D1" w14:textId="2AE77175" w:rsidR="00877846" w:rsidRDefault="00877846" w:rsidP="00877846">
      <w:pPr>
        <w:pStyle w:val="NoSpacing"/>
        <w:rPr>
          <w:b/>
          <w:sz w:val="24"/>
          <w:szCs w:val="24"/>
        </w:rPr>
      </w:pPr>
      <w:r w:rsidRPr="00877846">
        <w:rPr>
          <w:b/>
          <w:sz w:val="24"/>
          <w:szCs w:val="24"/>
        </w:rPr>
        <w:t>End of Project Summary</w:t>
      </w:r>
    </w:p>
    <w:p w14:paraId="543EDB5D" w14:textId="77777777" w:rsidR="00877846" w:rsidRDefault="00877846" w:rsidP="00877846">
      <w:pPr>
        <w:pStyle w:val="NoSpacing"/>
        <w:rPr>
          <w:b/>
          <w:sz w:val="24"/>
          <w:szCs w:val="24"/>
        </w:rPr>
      </w:pPr>
    </w:p>
    <w:p w14:paraId="0ADF91BB" w14:textId="77777777" w:rsidR="00137F2B" w:rsidRDefault="00137F2B" w:rsidP="00137F2B">
      <w:pPr>
        <w:rPr>
          <w:b/>
        </w:rPr>
      </w:pPr>
    </w:p>
    <w:tbl>
      <w:tblPr>
        <w:tblStyle w:val="TableGrid"/>
        <w:tblW w:w="5000" w:type="pct"/>
        <w:tblLook w:val="04A0" w:firstRow="1" w:lastRow="0" w:firstColumn="1" w:lastColumn="0" w:noHBand="0" w:noVBand="1"/>
      </w:tblPr>
      <w:tblGrid>
        <w:gridCol w:w="339"/>
        <w:gridCol w:w="3359"/>
        <w:gridCol w:w="5318"/>
      </w:tblGrid>
      <w:tr w:rsidR="00137F2B" w14:paraId="4E510A28"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E66EBA" w14:textId="77777777" w:rsidR="00137F2B" w:rsidRDefault="00137F2B">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32AD76" w14:textId="77777777" w:rsidR="00137F2B" w:rsidRDefault="00137F2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35642E" w14:textId="77777777" w:rsidR="00137F2B" w:rsidRDefault="00137F2B">
            <w:pPr>
              <w:spacing w:after="200" w:line="276" w:lineRule="auto"/>
              <w:ind w:left="360"/>
              <w:rPr>
                <w:lang w:eastAsia="en-GB"/>
              </w:rPr>
            </w:pPr>
          </w:p>
        </w:tc>
      </w:tr>
      <w:tr w:rsidR="00137F2B" w14:paraId="378A5503" w14:textId="77777777" w:rsidTr="00137F2B">
        <w:trPr>
          <w:trHeight w:hRule="exact" w:val="1520"/>
        </w:trPr>
        <w:tc>
          <w:tcPr>
            <w:tcW w:w="188" w:type="pct"/>
            <w:tcBorders>
              <w:top w:val="single" w:sz="4" w:space="0" w:color="auto"/>
              <w:left w:val="single" w:sz="4" w:space="0" w:color="auto"/>
              <w:bottom w:val="single" w:sz="4" w:space="0" w:color="auto"/>
              <w:right w:val="single" w:sz="4" w:space="0" w:color="auto"/>
            </w:tcBorders>
            <w:vAlign w:val="center"/>
          </w:tcPr>
          <w:p w14:paraId="15FF8B62"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792E2D5" w14:textId="77777777" w:rsidR="00137F2B" w:rsidRDefault="00137F2B">
            <w:pPr>
              <w:spacing w:after="200" w:line="276" w:lineRule="auto"/>
              <w:ind w:left="20"/>
              <w:rPr>
                <w:lang w:eastAsia="en-GB"/>
              </w:rPr>
            </w:pPr>
            <w:r>
              <w:rPr>
                <w:lang w:eastAsia="en-GB"/>
              </w:rPr>
              <w:t>What did the study set out to achieve?</w:t>
            </w:r>
          </w:p>
          <w:p w14:paraId="2914A9A5" w14:textId="77777777" w:rsidR="00137F2B" w:rsidRDefault="00137F2B">
            <w:pPr>
              <w:spacing w:after="200" w:line="276" w:lineRule="auto"/>
              <w:ind w:left="20"/>
              <w:rPr>
                <w:lang w:eastAsia="en-GB"/>
              </w:rPr>
            </w:pPr>
          </w:p>
          <w:p w14:paraId="18BCF57C" w14:textId="77777777" w:rsidR="00137F2B" w:rsidRDefault="00137F2B">
            <w:pPr>
              <w:spacing w:after="200" w:line="276" w:lineRule="auto"/>
              <w:ind w:left="20"/>
              <w:rPr>
                <w:lang w:eastAsia="en-GB"/>
              </w:rPr>
            </w:pPr>
          </w:p>
          <w:p w14:paraId="24226805" w14:textId="77777777" w:rsidR="00137F2B" w:rsidRDefault="00137F2B">
            <w:pPr>
              <w:spacing w:after="200" w:line="276" w:lineRule="auto"/>
              <w:ind w:left="20"/>
              <w:rPr>
                <w:lang w:eastAsia="en-GB"/>
              </w:rPr>
            </w:pPr>
          </w:p>
          <w:p w14:paraId="56FD56B7" w14:textId="77777777" w:rsidR="00137F2B" w:rsidRDefault="00137F2B">
            <w:pPr>
              <w:spacing w:after="200" w:line="276" w:lineRule="auto"/>
              <w:ind w:left="20"/>
              <w:rPr>
                <w:lang w:eastAsia="en-GB"/>
              </w:rPr>
            </w:pPr>
          </w:p>
          <w:p w14:paraId="4FF48E96"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740EDDBE" w14:textId="77777777" w:rsidR="00137F2B" w:rsidRDefault="00137F2B">
            <w:pPr>
              <w:pStyle w:val="Default"/>
              <w:rPr>
                <w:sz w:val="22"/>
                <w:szCs w:val="22"/>
                <w:lang w:eastAsia="en-GB"/>
              </w:rPr>
            </w:pPr>
            <w:r>
              <w:rPr>
                <w:sz w:val="23"/>
                <w:szCs w:val="23"/>
              </w:rPr>
              <w:t xml:space="preserve">To inform past participants of the Scottish Health Survey (as far as is possible) of the change in legal basis for the collection and linkage of the survey and what it means for them. </w:t>
            </w:r>
          </w:p>
          <w:p w14:paraId="795DA646" w14:textId="77777777" w:rsidR="00137F2B" w:rsidRDefault="00137F2B">
            <w:pPr>
              <w:spacing w:line="360" w:lineRule="auto"/>
              <w:rPr>
                <w:lang w:eastAsia="en-GB"/>
              </w:rPr>
            </w:pPr>
          </w:p>
          <w:p w14:paraId="18C0CD22" w14:textId="77777777" w:rsidR="00137F2B" w:rsidRDefault="00137F2B">
            <w:pPr>
              <w:spacing w:line="360" w:lineRule="auto"/>
              <w:rPr>
                <w:lang w:eastAsia="en-GB"/>
              </w:rPr>
            </w:pPr>
          </w:p>
        </w:tc>
      </w:tr>
      <w:tr w:rsidR="00137F2B" w14:paraId="37F38A3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C2EC1" w14:textId="77777777" w:rsidR="00137F2B" w:rsidRDefault="00137F2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CA73B7" w14:textId="77777777" w:rsidR="00137F2B" w:rsidRDefault="00137F2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C5DF89" w14:textId="77777777" w:rsidR="00137F2B" w:rsidRDefault="00137F2B">
            <w:pPr>
              <w:spacing w:after="200" w:line="276" w:lineRule="auto"/>
              <w:ind w:left="360"/>
              <w:rPr>
                <w:lang w:eastAsia="en-GB"/>
              </w:rPr>
            </w:pPr>
          </w:p>
          <w:p w14:paraId="161D837B" w14:textId="77777777" w:rsidR="00137F2B" w:rsidRDefault="00137F2B">
            <w:pPr>
              <w:spacing w:after="200" w:line="276" w:lineRule="auto"/>
              <w:rPr>
                <w:lang w:eastAsia="en-GB"/>
              </w:rPr>
            </w:pPr>
          </w:p>
          <w:p w14:paraId="0549D111" w14:textId="77777777" w:rsidR="00137F2B" w:rsidRDefault="00137F2B">
            <w:pPr>
              <w:spacing w:after="200" w:line="276" w:lineRule="auto"/>
              <w:rPr>
                <w:lang w:eastAsia="en-GB"/>
              </w:rPr>
            </w:pPr>
          </w:p>
          <w:p w14:paraId="7BE6224F" w14:textId="77777777" w:rsidR="00137F2B" w:rsidRDefault="00137F2B">
            <w:pPr>
              <w:spacing w:after="200" w:line="276" w:lineRule="auto"/>
              <w:rPr>
                <w:lang w:eastAsia="en-GB"/>
              </w:rPr>
            </w:pPr>
          </w:p>
          <w:p w14:paraId="46BF2630" w14:textId="77777777" w:rsidR="00137F2B" w:rsidRDefault="00137F2B">
            <w:pPr>
              <w:spacing w:after="200" w:line="276" w:lineRule="auto"/>
              <w:rPr>
                <w:lang w:eastAsia="en-GB"/>
              </w:rPr>
            </w:pPr>
          </w:p>
          <w:p w14:paraId="2E28D216" w14:textId="77777777" w:rsidR="00137F2B" w:rsidRDefault="00137F2B">
            <w:pPr>
              <w:spacing w:after="200" w:line="276" w:lineRule="auto"/>
              <w:rPr>
                <w:lang w:eastAsia="en-GB"/>
              </w:rPr>
            </w:pPr>
          </w:p>
          <w:p w14:paraId="6F1056E1" w14:textId="77777777" w:rsidR="00137F2B" w:rsidRDefault="00137F2B">
            <w:pPr>
              <w:spacing w:after="200" w:line="276" w:lineRule="auto"/>
              <w:rPr>
                <w:lang w:eastAsia="en-GB"/>
              </w:rPr>
            </w:pPr>
          </w:p>
          <w:p w14:paraId="60E1DB1D" w14:textId="77777777" w:rsidR="00137F2B" w:rsidRDefault="00137F2B">
            <w:pPr>
              <w:spacing w:after="200" w:line="276" w:lineRule="auto"/>
              <w:rPr>
                <w:lang w:eastAsia="en-GB"/>
              </w:rPr>
            </w:pPr>
          </w:p>
          <w:p w14:paraId="539FDE98" w14:textId="77777777" w:rsidR="00137F2B" w:rsidRDefault="00137F2B">
            <w:pPr>
              <w:spacing w:after="200" w:line="276" w:lineRule="auto"/>
              <w:rPr>
                <w:lang w:eastAsia="en-GB"/>
              </w:rPr>
            </w:pPr>
          </w:p>
          <w:p w14:paraId="372B5F1C" w14:textId="77777777" w:rsidR="00137F2B" w:rsidRDefault="00137F2B">
            <w:pPr>
              <w:spacing w:after="200" w:line="276" w:lineRule="auto"/>
              <w:rPr>
                <w:lang w:eastAsia="en-GB"/>
              </w:rPr>
            </w:pPr>
          </w:p>
          <w:p w14:paraId="15EC929C" w14:textId="77777777" w:rsidR="00137F2B" w:rsidRDefault="00137F2B">
            <w:pPr>
              <w:spacing w:after="200" w:line="276" w:lineRule="auto"/>
              <w:rPr>
                <w:lang w:eastAsia="en-GB"/>
              </w:rPr>
            </w:pPr>
          </w:p>
          <w:p w14:paraId="2FC1318E" w14:textId="77777777" w:rsidR="00137F2B" w:rsidRDefault="00137F2B">
            <w:pPr>
              <w:spacing w:after="200" w:line="276" w:lineRule="auto"/>
              <w:rPr>
                <w:lang w:eastAsia="en-GB"/>
              </w:rPr>
            </w:pPr>
          </w:p>
          <w:p w14:paraId="2196E7FC" w14:textId="77777777" w:rsidR="00137F2B" w:rsidRDefault="00137F2B">
            <w:pPr>
              <w:spacing w:after="200" w:line="276" w:lineRule="auto"/>
              <w:rPr>
                <w:lang w:eastAsia="en-GB"/>
              </w:rPr>
            </w:pPr>
          </w:p>
          <w:p w14:paraId="354E6864" w14:textId="77777777" w:rsidR="00137F2B" w:rsidRDefault="00137F2B">
            <w:pPr>
              <w:spacing w:after="200" w:line="276" w:lineRule="auto"/>
              <w:rPr>
                <w:lang w:eastAsia="en-GB"/>
              </w:rPr>
            </w:pPr>
          </w:p>
          <w:p w14:paraId="1C07A6DD" w14:textId="77777777" w:rsidR="00137F2B" w:rsidRDefault="00137F2B">
            <w:pPr>
              <w:spacing w:after="200" w:line="276" w:lineRule="auto"/>
              <w:rPr>
                <w:lang w:eastAsia="en-GB"/>
              </w:rPr>
            </w:pPr>
          </w:p>
          <w:p w14:paraId="6C991A4A" w14:textId="77777777" w:rsidR="00137F2B" w:rsidRDefault="00137F2B">
            <w:pPr>
              <w:spacing w:after="200" w:line="276" w:lineRule="auto"/>
              <w:rPr>
                <w:lang w:eastAsia="en-GB"/>
              </w:rPr>
            </w:pPr>
          </w:p>
          <w:p w14:paraId="489276F4" w14:textId="77777777" w:rsidR="00137F2B" w:rsidRDefault="00137F2B">
            <w:pPr>
              <w:spacing w:after="200" w:line="276" w:lineRule="auto"/>
              <w:rPr>
                <w:lang w:eastAsia="en-GB"/>
              </w:rPr>
            </w:pPr>
          </w:p>
          <w:p w14:paraId="35EA4209" w14:textId="77777777" w:rsidR="00137F2B" w:rsidRDefault="00137F2B">
            <w:pPr>
              <w:spacing w:after="200" w:line="276" w:lineRule="auto"/>
              <w:rPr>
                <w:lang w:eastAsia="en-GB"/>
              </w:rPr>
            </w:pPr>
          </w:p>
          <w:p w14:paraId="76F43379" w14:textId="77777777" w:rsidR="00137F2B" w:rsidRDefault="00137F2B">
            <w:pPr>
              <w:spacing w:after="200" w:line="276" w:lineRule="auto"/>
              <w:rPr>
                <w:lang w:eastAsia="en-GB"/>
              </w:rPr>
            </w:pPr>
          </w:p>
          <w:p w14:paraId="1167B1DB" w14:textId="77777777" w:rsidR="00137F2B" w:rsidRDefault="00137F2B">
            <w:pPr>
              <w:spacing w:after="200" w:line="276" w:lineRule="auto"/>
              <w:rPr>
                <w:lang w:eastAsia="en-GB"/>
              </w:rPr>
            </w:pPr>
          </w:p>
          <w:p w14:paraId="521ECCA4" w14:textId="77777777" w:rsidR="00137F2B" w:rsidRDefault="00137F2B">
            <w:pPr>
              <w:spacing w:after="200" w:line="276" w:lineRule="auto"/>
              <w:rPr>
                <w:lang w:eastAsia="en-GB"/>
              </w:rPr>
            </w:pPr>
          </w:p>
          <w:p w14:paraId="029D7E42" w14:textId="77777777" w:rsidR="00137F2B" w:rsidRDefault="00137F2B">
            <w:pPr>
              <w:spacing w:after="200" w:line="276" w:lineRule="auto"/>
              <w:rPr>
                <w:lang w:eastAsia="en-GB"/>
              </w:rPr>
            </w:pPr>
          </w:p>
          <w:p w14:paraId="6F0152CF" w14:textId="77777777" w:rsidR="00137F2B" w:rsidRDefault="00137F2B">
            <w:pPr>
              <w:spacing w:after="200" w:line="276" w:lineRule="auto"/>
              <w:rPr>
                <w:lang w:eastAsia="en-GB"/>
              </w:rPr>
            </w:pPr>
          </w:p>
          <w:p w14:paraId="20D2CF2E" w14:textId="77777777" w:rsidR="00137F2B" w:rsidRDefault="00137F2B">
            <w:pPr>
              <w:spacing w:after="200" w:line="276" w:lineRule="auto"/>
              <w:rPr>
                <w:lang w:eastAsia="en-GB"/>
              </w:rPr>
            </w:pPr>
          </w:p>
          <w:p w14:paraId="5262EB8E" w14:textId="77777777" w:rsidR="00137F2B" w:rsidRDefault="00137F2B">
            <w:pPr>
              <w:spacing w:after="200" w:line="276" w:lineRule="auto"/>
              <w:rPr>
                <w:lang w:eastAsia="en-GB"/>
              </w:rPr>
            </w:pPr>
          </w:p>
        </w:tc>
      </w:tr>
      <w:tr w:rsidR="00137F2B" w14:paraId="37203EB0" w14:textId="77777777" w:rsidTr="00137F2B">
        <w:trPr>
          <w:trHeight w:hRule="exact" w:val="5199"/>
        </w:trPr>
        <w:tc>
          <w:tcPr>
            <w:tcW w:w="188" w:type="pct"/>
            <w:tcBorders>
              <w:top w:val="single" w:sz="4" w:space="0" w:color="auto"/>
              <w:left w:val="single" w:sz="4" w:space="0" w:color="auto"/>
              <w:bottom w:val="single" w:sz="4" w:space="0" w:color="auto"/>
              <w:right w:val="single" w:sz="4" w:space="0" w:color="auto"/>
            </w:tcBorders>
            <w:vAlign w:val="center"/>
          </w:tcPr>
          <w:p w14:paraId="150B3655"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A300B21" w14:textId="77777777" w:rsidR="00137F2B" w:rsidRDefault="00137F2B">
            <w:pPr>
              <w:spacing w:after="200" w:line="276" w:lineRule="auto"/>
              <w:ind w:left="20"/>
              <w:rPr>
                <w:lang w:eastAsia="en-GB"/>
              </w:rPr>
            </w:pPr>
            <w:r>
              <w:rPr>
                <w:lang w:eastAsia="en-GB"/>
              </w:rPr>
              <w:t>How will these outcomes directly result in benefit for the public? Please give details. This should be the main section answered.</w:t>
            </w:r>
          </w:p>
          <w:p w14:paraId="5027F04A" w14:textId="77777777" w:rsidR="00137F2B" w:rsidRDefault="00137F2B">
            <w:pPr>
              <w:spacing w:after="200" w:line="276" w:lineRule="auto"/>
              <w:ind w:left="20"/>
              <w:rPr>
                <w:lang w:eastAsia="en-GB"/>
              </w:rPr>
            </w:pPr>
          </w:p>
          <w:p w14:paraId="273A3807" w14:textId="77777777" w:rsidR="00137F2B" w:rsidRDefault="00137F2B">
            <w:pPr>
              <w:spacing w:after="200" w:line="276" w:lineRule="auto"/>
              <w:ind w:left="20"/>
              <w:rPr>
                <w:lang w:eastAsia="en-GB"/>
              </w:rPr>
            </w:pPr>
          </w:p>
          <w:p w14:paraId="7F8422A8" w14:textId="77777777" w:rsidR="00137F2B" w:rsidRDefault="00137F2B">
            <w:pPr>
              <w:spacing w:after="200" w:line="276" w:lineRule="auto"/>
              <w:ind w:left="20"/>
              <w:rPr>
                <w:lang w:eastAsia="en-GB"/>
              </w:rPr>
            </w:pPr>
          </w:p>
          <w:p w14:paraId="0B327721" w14:textId="77777777" w:rsidR="00137F2B" w:rsidRDefault="00137F2B">
            <w:pPr>
              <w:spacing w:after="200" w:line="276" w:lineRule="auto"/>
              <w:ind w:left="20"/>
              <w:rPr>
                <w:lang w:eastAsia="en-GB"/>
              </w:rPr>
            </w:pPr>
          </w:p>
          <w:p w14:paraId="2A10D647" w14:textId="77777777" w:rsidR="00137F2B" w:rsidRDefault="00137F2B">
            <w:pPr>
              <w:spacing w:after="200" w:line="276" w:lineRule="auto"/>
              <w:ind w:left="20"/>
              <w:rPr>
                <w:lang w:eastAsia="en-GB"/>
              </w:rPr>
            </w:pPr>
          </w:p>
          <w:p w14:paraId="62F9187D" w14:textId="77777777" w:rsidR="00137F2B" w:rsidRDefault="00137F2B">
            <w:pPr>
              <w:spacing w:after="200" w:line="276" w:lineRule="auto"/>
              <w:ind w:left="20"/>
              <w:rPr>
                <w:lang w:eastAsia="en-GB"/>
              </w:rPr>
            </w:pPr>
          </w:p>
          <w:p w14:paraId="092D642E"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D68FA59" w14:textId="77777777" w:rsidR="00137F2B" w:rsidRDefault="00137F2B">
            <w:pPr>
              <w:pStyle w:val="Default"/>
              <w:rPr>
                <w:sz w:val="23"/>
                <w:szCs w:val="23"/>
              </w:rPr>
            </w:pPr>
            <w:r>
              <w:rPr>
                <w:sz w:val="23"/>
                <w:szCs w:val="23"/>
              </w:rPr>
              <w:t>The process was viewed as a proportionate response due to the requirement to inform individuals of use of their data by law. Continuing linkage from a survey collected by consent without informing individuals of this would be unethical.</w:t>
            </w:r>
          </w:p>
          <w:p w14:paraId="2F5906AB" w14:textId="77777777" w:rsidR="00137F2B" w:rsidRDefault="00137F2B">
            <w:pPr>
              <w:pStyle w:val="Default"/>
              <w:rPr>
                <w:sz w:val="23"/>
                <w:szCs w:val="23"/>
              </w:rPr>
            </w:pPr>
          </w:p>
          <w:p w14:paraId="05619BE7" w14:textId="77777777" w:rsidR="00137F2B" w:rsidRDefault="00137F2B">
            <w:pPr>
              <w:pStyle w:val="Default"/>
              <w:rPr>
                <w:sz w:val="23"/>
                <w:szCs w:val="23"/>
              </w:rPr>
            </w:pPr>
            <w:r>
              <w:rPr>
                <w:sz w:val="23"/>
                <w:szCs w:val="23"/>
              </w:rPr>
              <w:t>Additionally, the contact served to:</w:t>
            </w:r>
          </w:p>
          <w:p w14:paraId="0CA68EDD" w14:textId="77777777" w:rsidR="00137F2B" w:rsidRDefault="00137F2B">
            <w:pPr>
              <w:pStyle w:val="Default"/>
              <w:rPr>
                <w:sz w:val="23"/>
                <w:szCs w:val="23"/>
              </w:rPr>
            </w:pPr>
            <w:r>
              <w:rPr>
                <w:sz w:val="23"/>
                <w:szCs w:val="23"/>
              </w:rPr>
              <w:t xml:space="preserve">• inform individuals that their survey responses continue to provide vital information that supports policy decisions </w:t>
            </w:r>
          </w:p>
          <w:p w14:paraId="6CC372A0" w14:textId="77777777" w:rsidR="00137F2B" w:rsidRDefault="00137F2B">
            <w:pPr>
              <w:pStyle w:val="Default"/>
              <w:rPr>
                <w:sz w:val="23"/>
                <w:szCs w:val="23"/>
              </w:rPr>
            </w:pPr>
            <w:r>
              <w:rPr>
                <w:sz w:val="23"/>
                <w:szCs w:val="23"/>
              </w:rPr>
              <w:t xml:space="preserve">• maintain trust in public bodies that data is used ethically </w:t>
            </w:r>
          </w:p>
          <w:p w14:paraId="211142C3" w14:textId="77777777" w:rsidR="00137F2B" w:rsidRDefault="00137F2B">
            <w:pPr>
              <w:pStyle w:val="Default"/>
              <w:rPr>
                <w:sz w:val="23"/>
                <w:szCs w:val="23"/>
              </w:rPr>
            </w:pPr>
          </w:p>
          <w:p w14:paraId="2E3AF634" w14:textId="77777777" w:rsidR="00137F2B" w:rsidRDefault="00137F2B">
            <w:pPr>
              <w:pStyle w:val="Default"/>
              <w:rPr>
                <w:sz w:val="23"/>
                <w:szCs w:val="23"/>
              </w:rPr>
            </w:pPr>
            <w:r>
              <w:rPr>
                <w:sz w:val="23"/>
                <w:szCs w:val="23"/>
              </w:rPr>
              <w:t xml:space="preserve">Although there is no further direct public benefit from the contact, there is much public benefit from the continued linkage, which this project allows. </w:t>
            </w:r>
          </w:p>
          <w:p w14:paraId="2703E7AF" w14:textId="77777777" w:rsidR="00137F2B" w:rsidRDefault="00137F2B">
            <w:pPr>
              <w:pStyle w:val="Default"/>
              <w:rPr>
                <w:sz w:val="23"/>
                <w:szCs w:val="23"/>
              </w:rPr>
            </w:pPr>
          </w:p>
          <w:p w14:paraId="5BDBE04A" w14:textId="77777777" w:rsidR="00137F2B" w:rsidRDefault="00137F2B">
            <w:pPr>
              <w:pStyle w:val="Default"/>
              <w:rPr>
                <w:sz w:val="23"/>
                <w:szCs w:val="23"/>
              </w:rPr>
            </w:pPr>
          </w:p>
          <w:p w14:paraId="1D386E2C" w14:textId="77777777" w:rsidR="00137F2B" w:rsidRDefault="00137F2B">
            <w:pPr>
              <w:spacing w:line="360" w:lineRule="auto"/>
              <w:rPr>
                <w:color w:val="000000"/>
                <w:sz w:val="23"/>
                <w:szCs w:val="23"/>
              </w:rPr>
            </w:pPr>
          </w:p>
          <w:p w14:paraId="18E7480E" w14:textId="77777777" w:rsidR="00137F2B" w:rsidRDefault="00137F2B">
            <w:pPr>
              <w:spacing w:line="360" w:lineRule="auto"/>
              <w:rPr>
                <w:color w:val="000000"/>
                <w:sz w:val="23"/>
                <w:szCs w:val="23"/>
              </w:rPr>
            </w:pPr>
          </w:p>
          <w:p w14:paraId="7BC41228" w14:textId="77777777" w:rsidR="00137F2B" w:rsidRDefault="00137F2B">
            <w:pPr>
              <w:spacing w:line="360" w:lineRule="auto"/>
              <w:rPr>
                <w:color w:val="000000"/>
                <w:sz w:val="23"/>
                <w:szCs w:val="23"/>
              </w:rPr>
            </w:pPr>
          </w:p>
          <w:p w14:paraId="2BF976E7" w14:textId="77777777" w:rsidR="00137F2B" w:rsidRDefault="00137F2B">
            <w:pPr>
              <w:spacing w:line="360" w:lineRule="auto"/>
              <w:rPr>
                <w:color w:val="000000"/>
                <w:sz w:val="23"/>
                <w:szCs w:val="23"/>
              </w:rPr>
            </w:pPr>
          </w:p>
          <w:p w14:paraId="1C5344D3" w14:textId="77777777" w:rsidR="00137F2B" w:rsidRDefault="00137F2B">
            <w:pPr>
              <w:spacing w:line="360" w:lineRule="auto"/>
              <w:rPr>
                <w:color w:val="000000"/>
                <w:sz w:val="23"/>
                <w:szCs w:val="23"/>
              </w:rPr>
            </w:pPr>
          </w:p>
          <w:p w14:paraId="41842260" w14:textId="77777777" w:rsidR="00137F2B" w:rsidRDefault="00137F2B">
            <w:pPr>
              <w:spacing w:line="360" w:lineRule="auto"/>
              <w:rPr>
                <w:color w:val="000000"/>
                <w:sz w:val="23"/>
                <w:szCs w:val="23"/>
              </w:rPr>
            </w:pPr>
          </w:p>
          <w:p w14:paraId="0527A0E8" w14:textId="77777777" w:rsidR="00137F2B" w:rsidRDefault="00137F2B">
            <w:pPr>
              <w:spacing w:line="360" w:lineRule="auto"/>
              <w:rPr>
                <w:color w:val="000000"/>
                <w:sz w:val="23"/>
                <w:szCs w:val="23"/>
              </w:rPr>
            </w:pPr>
          </w:p>
          <w:p w14:paraId="5C54AA90" w14:textId="77777777" w:rsidR="00137F2B" w:rsidRDefault="00137F2B">
            <w:pPr>
              <w:spacing w:line="360" w:lineRule="auto"/>
              <w:rPr>
                <w:color w:val="000000"/>
                <w:sz w:val="23"/>
                <w:szCs w:val="23"/>
              </w:rPr>
            </w:pPr>
          </w:p>
        </w:tc>
      </w:tr>
      <w:tr w:rsidR="00137F2B" w14:paraId="5B4164F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1C0C0" w14:textId="77777777" w:rsidR="00137F2B" w:rsidRDefault="00137F2B">
            <w:pPr>
              <w:spacing w:after="200" w:line="276" w:lineRule="auto"/>
              <w:rPr>
                <w:rFonts w:eastAsia="Times New Roman"/>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1C6549" w14:textId="77777777" w:rsidR="00137F2B" w:rsidRDefault="00137F2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666BC7" w14:textId="77777777" w:rsidR="00137F2B" w:rsidRDefault="00137F2B">
            <w:pPr>
              <w:spacing w:after="200" w:line="276" w:lineRule="auto"/>
              <w:ind w:left="360"/>
              <w:rPr>
                <w:lang w:eastAsia="en-GB"/>
              </w:rPr>
            </w:pPr>
          </w:p>
        </w:tc>
      </w:tr>
      <w:tr w:rsidR="00137F2B" w14:paraId="55182334" w14:textId="77777777" w:rsidTr="00137F2B">
        <w:trPr>
          <w:trHeight w:hRule="exact" w:val="2276"/>
        </w:trPr>
        <w:tc>
          <w:tcPr>
            <w:tcW w:w="188" w:type="pct"/>
            <w:tcBorders>
              <w:top w:val="single" w:sz="4" w:space="0" w:color="auto"/>
              <w:left w:val="single" w:sz="4" w:space="0" w:color="auto"/>
              <w:bottom w:val="single" w:sz="4" w:space="0" w:color="auto"/>
              <w:right w:val="single" w:sz="4" w:space="0" w:color="auto"/>
            </w:tcBorders>
            <w:vAlign w:val="center"/>
          </w:tcPr>
          <w:p w14:paraId="76CC4AD9"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605A39" w14:textId="77777777" w:rsidR="00137F2B" w:rsidRDefault="00137F2B">
            <w:pPr>
              <w:spacing w:after="200" w:line="276" w:lineRule="auto"/>
              <w:ind w:left="20"/>
              <w:rPr>
                <w:lang w:eastAsia="en-GB"/>
              </w:rPr>
            </w:pPr>
            <w:r>
              <w:rPr>
                <w:lang w:eastAsia="en-GB"/>
              </w:rPr>
              <w:t xml:space="preserve">What data were received/processed/collected? </w:t>
            </w:r>
          </w:p>
          <w:p w14:paraId="09720C0F" w14:textId="77777777" w:rsidR="00137F2B" w:rsidRDefault="00137F2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7455CA2" w14:textId="77777777" w:rsidR="00137F2B" w:rsidRDefault="00137F2B">
            <w:pPr>
              <w:pStyle w:val="Default"/>
              <w:rPr>
                <w:sz w:val="23"/>
                <w:szCs w:val="23"/>
              </w:rPr>
            </w:pPr>
            <w:r>
              <w:rPr>
                <w:sz w:val="22"/>
                <w:szCs w:val="22"/>
                <w:lang w:eastAsia="en-GB"/>
              </w:rPr>
              <w:t xml:space="preserve">Latest addresses for past respondents of the Scottish Health Survey who had not previously opted out of their survey answers being linked to their health records.  </w:t>
            </w:r>
          </w:p>
          <w:p w14:paraId="3AFFB41A" w14:textId="77777777" w:rsidR="00137F2B" w:rsidRDefault="00137F2B">
            <w:pPr>
              <w:spacing w:line="360" w:lineRule="auto"/>
              <w:rPr>
                <w:lang w:eastAsia="en-GB"/>
              </w:rPr>
            </w:pPr>
          </w:p>
          <w:p w14:paraId="7EAD3005" w14:textId="77777777" w:rsidR="00137F2B" w:rsidRDefault="00137F2B">
            <w:pPr>
              <w:spacing w:line="360" w:lineRule="auto"/>
              <w:rPr>
                <w:lang w:eastAsia="en-GB"/>
              </w:rPr>
            </w:pPr>
            <w:r>
              <w:rPr>
                <w:lang w:eastAsia="en-GB"/>
              </w:rPr>
              <w:t>Yes</w:t>
            </w:r>
          </w:p>
        </w:tc>
      </w:tr>
      <w:tr w:rsidR="00137F2B" w14:paraId="6215A9A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0B779B" w14:textId="77777777" w:rsidR="00137F2B" w:rsidRDefault="00137F2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F8367F" w14:textId="77777777" w:rsidR="00137F2B" w:rsidRDefault="00137F2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4F8107" w14:textId="77777777" w:rsidR="00137F2B" w:rsidRDefault="00137F2B">
            <w:pPr>
              <w:spacing w:after="200" w:line="276" w:lineRule="auto"/>
              <w:ind w:left="360"/>
              <w:rPr>
                <w:lang w:eastAsia="en-GB"/>
              </w:rPr>
            </w:pPr>
          </w:p>
        </w:tc>
      </w:tr>
      <w:tr w:rsidR="00137F2B" w14:paraId="164F69A9" w14:textId="77777777" w:rsidTr="00137F2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41B64A1"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9F079C9" w14:textId="77777777" w:rsidR="00137F2B" w:rsidRDefault="00137F2B">
            <w:pPr>
              <w:spacing w:after="200" w:line="276" w:lineRule="auto"/>
              <w:rPr>
                <w:lang w:eastAsia="en-GB"/>
              </w:rPr>
            </w:pPr>
            <w:r>
              <w:rPr>
                <w:lang w:eastAsia="en-GB"/>
              </w:rPr>
              <w:t xml:space="preserve"> 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797CF340" w14:textId="77777777" w:rsidR="00137F2B" w:rsidRDefault="00137F2B">
            <w:pPr>
              <w:pStyle w:val="Default"/>
              <w:rPr>
                <w:sz w:val="23"/>
                <w:szCs w:val="23"/>
              </w:rPr>
            </w:pPr>
          </w:p>
          <w:p w14:paraId="498CD948" w14:textId="77777777" w:rsidR="00137F2B" w:rsidRDefault="00137F2B">
            <w:pPr>
              <w:pStyle w:val="Default"/>
              <w:rPr>
                <w:sz w:val="22"/>
                <w:szCs w:val="22"/>
                <w:lang w:eastAsia="en-GB"/>
              </w:rPr>
            </w:pPr>
            <w:r>
              <w:rPr>
                <w:sz w:val="23"/>
                <w:szCs w:val="23"/>
              </w:rPr>
              <w:t xml:space="preserve">The CHILI team matched the identifiers of past respondents to the Scottish Health Survey (provided </w:t>
            </w:r>
            <w:r>
              <w:rPr>
                <w:sz w:val="23"/>
                <w:szCs w:val="23"/>
              </w:rPr>
              <w:lastRenderedPageBreak/>
              <w:t xml:space="preserve">by NatCen) to the CHI database and returned to NatCen the most recent names and addresses of all living participants who could be traced. </w:t>
            </w:r>
          </w:p>
          <w:p w14:paraId="3B7882E3" w14:textId="77777777" w:rsidR="00137F2B" w:rsidRDefault="00137F2B">
            <w:pPr>
              <w:spacing w:line="360" w:lineRule="auto"/>
              <w:rPr>
                <w:lang w:eastAsia="en-GB"/>
              </w:rPr>
            </w:pPr>
          </w:p>
          <w:p w14:paraId="19420F3D" w14:textId="77777777" w:rsidR="00137F2B" w:rsidRDefault="00137F2B">
            <w:pPr>
              <w:spacing w:line="360" w:lineRule="auto"/>
              <w:rPr>
                <w:lang w:eastAsia="en-GB"/>
              </w:rPr>
            </w:pPr>
          </w:p>
        </w:tc>
      </w:tr>
      <w:tr w:rsidR="00137F2B" w14:paraId="61045F10" w14:textId="77777777" w:rsidTr="00137F2B">
        <w:trPr>
          <w:trHeight w:hRule="exact" w:val="2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52B58" w14:textId="77777777" w:rsidR="00137F2B" w:rsidRDefault="00137F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8ACBC97" w14:textId="77777777" w:rsidR="00137F2B" w:rsidRDefault="00137F2B">
            <w:pPr>
              <w:spacing w:after="200" w:line="276" w:lineRule="auto"/>
              <w:ind w:left="20"/>
              <w:rPr>
                <w:lang w:eastAsia="en-GB"/>
              </w:rPr>
            </w:pPr>
            <w:r>
              <w:rPr>
                <w:lang w:eastAsia="en-GB"/>
              </w:rPr>
              <w:t xml:space="preserve">How did you process the data? </w:t>
            </w:r>
          </w:p>
          <w:p w14:paraId="35CBBCCE"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416FD68" w14:textId="77777777" w:rsidR="00137F2B" w:rsidRDefault="00137F2B">
            <w:pPr>
              <w:spacing w:after="200" w:line="276" w:lineRule="auto"/>
              <w:rPr>
                <w:lang w:eastAsia="en-GB"/>
              </w:rPr>
            </w:pPr>
            <w:r>
              <w:rPr>
                <w:lang w:eastAsia="en-GB"/>
              </w:rPr>
              <w:t xml:space="preserve">NatCen used the latest name and address details to issue letters to past respondents of the survey about the linkage with health records. </w:t>
            </w:r>
          </w:p>
        </w:tc>
      </w:tr>
      <w:tr w:rsidR="00137F2B" w14:paraId="19F3DB30" w14:textId="77777777" w:rsidTr="00137F2B">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FD24F" w14:textId="77777777" w:rsidR="00137F2B" w:rsidRDefault="00137F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CF4174F" w14:textId="77777777" w:rsidR="00137F2B" w:rsidRDefault="00137F2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B2F2038" w14:textId="77777777" w:rsidR="00137F2B" w:rsidRDefault="00137F2B">
            <w:pPr>
              <w:spacing w:line="360" w:lineRule="auto"/>
              <w:rPr>
                <w:lang w:eastAsia="en-GB"/>
              </w:rPr>
            </w:pPr>
            <w:r>
              <w:rPr>
                <w:lang w:eastAsia="en-GB"/>
              </w:rPr>
              <w:t>No information was published.</w:t>
            </w:r>
          </w:p>
        </w:tc>
      </w:tr>
      <w:tr w:rsidR="00137F2B" w14:paraId="1E42B643" w14:textId="77777777" w:rsidTr="00137F2B">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C87EB" w14:textId="77777777" w:rsidR="00137F2B" w:rsidRDefault="00137F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6672727" w14:textId="77777777" w:rsidR="00137F2B" w:rsidRDefault="00137F2B">
            <w:pPr>
              <w:spacing w:after="200" w:line="276" w:lineRule="auto"/>
              <w:ind w:left="20"/>
              <w:rPr>
                <w:lang w:eastAsia="en-GB"/>
              </w:rPr>
            </w:pPr>
            <w:r>
              <w:rPr>
                <w:lang w:eastAsia="en-GB"/>
              </w:rPr>
              <w:t>Did your study scope change from its original aims? Please give brief details.</w:t>
            </w:r>
          </w:p>
          <w:p w14:paraId="2E55C269" w14:textId="77777777" w:rsidR="00137F2B" w:rsidRDefault="00137F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B0FF550" w14:textId="77777777" w:rsidR="00137F2B" w:rsidRDefault="00137F2B">
            <w:pPr>
              <w:spacing w:line="360" w:lineRule="auto"/>
              <w:rPr>
                <w:lang w:eastAsia="en-GB"/>
              </w:rPr>
            </w:pPr>
            <w:r>
              <w:rPr>
                <w:lang w:eastAsia="en-GB"/>
              </w:rPr>
              <w:t>No</w:t>
            </w:r>
          </w:p>
        </w:tc>
      </w:tr>
      <w:tr w:rsidR="00137F2B" w14:paraId="320AD4FF"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56E4A9" w14:textId="77777777" w:rsidR="00137F2B" w:rsidRDefault="00137F2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8EE357" w14:textId="77777777" w:rsidR="00137F2B" w:rsidRDefault="00137F2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B44013" w14:textId="77777777" w:rsidR="00137F2B" w:rsidRDefault="00137F2B">
            <w:pPr>
              <w:spacing w:after="200" w:line="276" w:lineRule="auto"/>
              <w:ind w:left="360"/>
              <w:rPr>
                <w:lang w:eastAsia="en-GB"/>
              </w:rPr>
            </w:pPr>
          </w:p>
        </w:tc>
      </w:tr>
      <w:tr w:rsidR="00137F2B" w14:paraId="2240F053" w14:textId="77777777" w:rsidTr="00137F2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49A0809"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333377" w14:textId="77777777" w:rsidR="00137F2B" w:rsidRDefault="00137F2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B4A08D0" w14:textId="77777777" w:rsidR="00137F2B" w:rsidRDefault="00137F2B">
            <w:pPr>
              <w:spacing w:line="360" w:lineRule="auto"/>
              <w:rPr>
                <w:lang w:eastAsia="en-GB"/>
              </w:rPr>
            </w:pPr>
            <w:r>
              <w:rPr>
                <w:lang w:eastAsia="en-GB"/>
              </w:rPr>
              <w:t>A total of 772 individuals contacted requested that their Scottish Health Survey answers no longer be linked to their health records..  The linkage will now proceed for those who did not opt-out.</w:t>
            </w:r>
          </w:p>
        </w:tc>
      </w:tr>
      <w:tr w:rsidR="00137F2B" w14:paraId="41BB602E" w14:textId="77777777" w:rsidTr="00137F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50750C" w14:textId="77777777" w:rsidR="00137F2B" w:rsidRDefault="00137F2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A71F7C" w14:textId="77777777" w:rsidR="00137F2B" w:rsidRDefault="00137F2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6F8E85" w14:textId="77777777" w:rsidR="00137F2B" w:rsidRDefault="00137F2B">
            <w:pPr>
              <w:spacing w:after="200" w:line="276" w:lineRule="auto"/>
              <w:ind w:left="360"/>
              <w:rPr>
                <w:lang w:eastAsia="en-GB"/>
              </w:rPr>
            </w:pPr>
          </w:p>
        </w:tc>
      </w:tr>
      <w:tr w:rsidR="00137F2B" w14:paraId="7924FC64" w14:textId="77777777" w:rsidTr="00137F2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C6592B6" w14:textId="77777777" w:rsidR="00137F2B" w:rsidRDefault="00137F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BA2D53" w14:textId="77777777" w:rsidR="00137F2B" w:rsidRDefault="00137F2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469C7DB" w14:textId="77777777" w:rsidR="00137F2B" w:rsidRDefault="00137F2B">
            <w:pPr>
              <w:spacing w:line="360" w:lineRule="auto"/>
              <w:rPr>
                <w:lang w:eastAsia="en-GB"/>
              </w:rPr>
            </w:pPr>
            <w:r>
              <w:rPr>
                <w:lang w:eastAsia="en-GB"/>
              </w:rPr>
              <w:t>No</w:t>
            </w:r>
          </w:p>
        </w:tc>
      </w:tr>
    </w:tbl>
    <w:p w14:paraId="630BDDC6" w14:textId="77777777" w:rsidR="00877846" w:rsidRPr="00877846" w:rsidRDefault="00877846" w:rsidP="00877846">
      <w:pPr>
        <w:pStyle w:val="NoSpacing"/>
        <w:rPr>
          <w:b/>
          <w:sz w:val="24"/>
          <w:szCs w:val="24"/>
        </w:rPr>
      </w:pPr>
    </w:p>
    <w:p w14:paraId="3C2A8C1F" w14:textId="77777777" w:rsidR="004B53D4" w:rsidRDefault="004B53D4" w:rsidP="004B53D4"/>
    <w:p w14:paraId="254E9781" w14:textId="77777777" w:rsidR="004B53D4" w:rsidRDefault="004B53D4" w:rsidP="004B53D4"/>
    <w:p w14:paraId="34FEBA06" w14:textId="604DE0F5" w:rsidR="004B53D4" w:rsidRDefault="004E1F05" w:rsidP="004E1F05">
      <w:pPr>
        <w:pStyle w:val="Heading2"/>
      </w:pPr>
      <w:bookmarkStart w:id="31" w:name="_1920-0266_Glenn_Nielsen"/>
      <w:bookmarkEnd w:id="31"/>
      <w:r>
        <w:t>1920-0266</w:t>
      </w:r>
      <w:r>
        <w:tab/>
        <w:t>Glenn Nielsen</w:t>
      </w:r>
    </w:p>
    <w:p w14:paraId="1E88EBFB" w14:textId="77777777" w:rsidR="004E1F05" w:rsidRDefault="004E1F05" w:rsidP="004E1F05"/>
    <w:p w14:paraId="57E25CDA" w14:textId="1490CB65" w:rsidR="004E1F05" w:rsidRDefault="004E1F05" w:rsidP="004E1F05">
      <w:pPr>
        <w:rPr>
          <w:b/>
          <w:bCs/>
        </w:rPr>
      </w:pPr>
      <w:r w:rsidRPr="004E1F05">
        <w:rPr>
          <w:b/>
          <w:bCs/>
        </w:rPr>
        <w:t>Physio4FMD</w:t>
      </w:r>
      <w:r w:rsidRPr="004E1F05">
        <w:rPr>
          <w:b/>
          <w:bCs/>
        </w:rPr>
        <w:cr/>
      </w:r>
    </w:p>
    <w:p w14:paraId="362AA49E" w14:textId="77777777" w:rsidR="004E1F05" w:rsidRPr="004E1F05" w:rsidRDefault="004E1F05" w:rsidP="004E1F05">
      <w:pPr>
        <w:rPr>
          <w:b/>
          <w:bCs/>
        </w:rPr>
      </w:pPr>
      <w:r w:rsidRPr="004E1F05">
        <w:rPr>
          <w:b/>
          <w:bCs/>
        </w:rPr>
        <w:t>The Public Benefit Impact Summary</w:t>
      </w:r>
    </w:p>
    <w:p w14:paraId="1CFA073C" w14:textId="77777777" w:rsidR="004E1F05" w:rsidRPr="004E1F05" w:rsidRDefault="004E1F05" w:rsidP="004E1F05">
      <w:pPr>
        <w:rPr>
          <w:b/>
          <w:bCs/>
        </w:rPr>
      </w:pPr>
      <w:r w:rsidRPr="004E1F05">
        <w:rPr>
          <w:b/>
          <w:bCs/>
        </w:rPr>
        <w:t xml:space="preserve">Public Benefit and Privacy Panel for Health and Social Care </w:t>
      </w:r>
    </w:p>
    <w:p w14:paraId="3EF4475D" w14:textId="77777777" w:rsidR="004E1F05" w:rsidRPr="004E1F05" w:rsidRDefault="004E1F05" w:rsidP="004E1F05">
      <w:pPr>
        <w:rPr>
          <w:b/>
          <w:bCs/>
        </w:rPr>
      </w:pPr>
      <w:r w:rsidRPr="004E1F05">
        <w:rPr>
          <w:b/>
          <w:bCs/>
        </w:rPr>
        <w:lastRenderedPageBreak/>
        <w:t>End of Project Declaration and Summary</w:t>
      </w:r>
    </w:p>
    <w:p w14:paraId="3C6287F6" w14:textId="77777777" w:rsidR="004E1F05" w:rsidRPr="004E1F05" w:rsidRDefault="004E1F05" w:rsidP="004E1F05">
      <w:pPr>
        <w:rPr>
          <w:b/>
          <w:bCs/>
        </w:rPr>
      </w:pPr>
      <w:r w:rsidRPr="004E1F05">
        <w:rPr>
          <w:b/>
          <w:bCs/>
        </w:rPr>
        <w:t>End of Project Declaration and Summary Report V0.1 RH GN</w:t>
      </w:r>
    </w:p>
    <w:p w14:paraId="2B06C5A8" w14:textId="77777777" w:rsidR="004E1F05" w:rsidRPr="004E1F05" w:rsidRDefault="004E1F05" w:rsidP="004E1F05">
      <w:pPr>
        <w:rPr>
          <w:b/>
          <w:bCs/>
        </w:rPr>
      </w:pPr>
      <w:r w:rsidRPr="004E1F05">
        <w:rPr>
          <w:b/>
          <w:bCs/>
        </w:rPr>
        <w:t>1 Aims</w:t>
      </w:r>
    </w:p>
    <w:p w14:paraId="3DD976FA" w14:textId="77777777" w:rsidR="004E1F05" w:rsidRPr="004E1F05" w:rsidRDefault="004E1F05" w:rsidP="004E1F05">
      <w:pPr>
        <w:rPr>
          <w:b/>
          <w:bCs/>
        </w:rPr>
      </w:pPr>
      <w:r w:rsidRPr="004E1F05">
        <w:rPr>
          <w:b/>
          <w:bCs/>
        </w:rPr>
        <w:t xml:space="preserve">What did the study set out to </w:t>
      </w:r>
    </w:p>
    <w:p w14:paraId="5AB63075" w14:textId="77777777" w:rsidR="004E1F05" w:rsidRPr="004E1F05" w:rsidRDefault="004E1F05" w:rsidP="004E1F05">
      <w:pPr>
        <w:rPr>
          <w:b/>
          <w:bCs/>
        </w:rPr>
      </w:pPr>
      <w:r w:rsidRPr="004E1F05">
        <w:rPr>
          <w:b/>
          <w:bCs/>
        </w:rPr>
        <w:t>achieve?</w:t>
      </w:r>
    </w:p>
    <w:p w14:paraId="1A6DD7F7" w14:textId="77777777" w:rsidR="004E1F05" w:rsidRPr="004E1F05" w:rsidRDefault="004E1F05" w:rsidP="004E1F05">
      <w:pPr>
        <w:rPr>
          <w:b/>
          <w:bCs/>
        </w:rPr>
      </w:pPr>
      <w:r w:rsidRPr="004E1F05">
        <w:rPr>
          <w:b/>
          <w:bCs/>
        </w:rPr>
        <w:t xml:space="preserve">Determine the effectiveness of specialist </w:t>
      </w:r>
    </w:p>
    <w:p w14:paraId="0302E1F2" w14:textId="77777777" w:rsidR="004E1F05" w:rsidRPr="004E1F05" w:rsidRDefault="004E1F05" w:rsidP="004E1F05">
      <w:pPr>
        <w:rPr>
          <w:b/>
          <w:bCs/>
        </w:rPr>
      </w:pPr>
      <w:r w:rsidRPr="004E1F05">
        <w:rPr>
          <w:b/>
          <w:bCs/>
        </w:rPr>
        <w:t xml:space="preserve">physiotherapy compared to usual care </w:t>
      </w:r>
    </w:p>
    <w:p w14:paraId="20A2B1C5" w14:textId="77777777" w:rsidR="004E1F05" w:rsidRPr="004E1F05" w:rsidRDefault="004E1F05" w:rsidP="004E1F05">
      <w:pPr>
        <w:rPr>
          <w:b/>
          <w:bCs/>
        </w:rPr>
      </w:pPr>
      <w:r w:rsidRPr="004E1F05">
        <w:rPr>
          <w:b/>
          <w:bCs/>
        </w:rPr>
        <w:t xml:space="preserve">physiotherapy for people with functional motor </w:t>
      </w:r>
    </w:p>
    <w:p w14:paraId="1C8A9688" w14:textId="77777777" w:rsidR="004E1F05" w:rsidRPr="004E1F05" w:rsidRDefault="004E1F05" w:rsidP="004E1F05">
      <w:pPr>
        <w:rPr>
          <w:b/>
          <w:bCs/>
        </w:rPr>
      </w:pPr>
      <w:r w:rsidRPr="004E1F05">
        <w:rPr>
          <w:b/>
          <w:bCs/>
        </w:rPr>
        <w:t>disorder</w:t>
      </w:r>
    </w:p>
    <w:p w14:paraId="0BBDA039" w14:textId="77777777" w:rsidR="004E1F05" w:rsidRPr="004E1F05" w:rsidRDefault="004E1F05" w:rsidP="004E1F05">
      <w:pPr>
        <w:rPr>
          <w:b/>
          <w:bCs/>
        </w:rPr>
      </w:pPr>
      <w:r w:rsidRPr="004E1F05">
        <w:rPr>
          <w:b/>
          <w:bCs/>
        </w:rPr>
        <w:t>2 Public Benefit Impact</w:t>
      </w:r>
    </w:p>
    <w:p w14:paraId="04B862C2" w14:textId="77777777" w:rsidR="004E1F05" w:rsidRPr="004E1F05" w:rsidRDefault="004E1F05" w:rsidP="004E1F05">
      <w:pPr>
        <w:rPr>
          <w:b/>
          <w:bCs/>
        </w:rPr>
      </w:pPr>
      <w:r w:rsidRPr="004E1F05">
        <w:rPr>
          <w:b/>
          <w:bCs/>
        </w:rPr>
        <w:t xml:space="preserve">How will these outcomes </w:t>
      </w:r>
    </w:p>
    <w:p w14:paraId="30B15ADC" w14:textId="77777777" w:rsidR="004E1F05" w:rsidRPr="004E1F05" w:rsidRDefault="004E1F05" w:rsidP="004E1F05">
      <w:pPr>
        <w:rPr>
          <w:b/>
          <w:bCs/>
        </w:rPr>
      </w:pPr>
      <w:r w:rsidRPr="004E1F05">
        <w:rPr>
          <w:b/>
          <w:bCs/>
        </w:rPr>
        <w:t xml:space="preserve">directly result in benefit for the </w:t>
      </w:r>
    </w:p>
    <w:p w14:paraId="1EF76E1C" w14:textId="77777777" w:rsidR="004E1F05" w:rsidRPr="004E1F05" w:rsidRDefault="004E1F05" w:rsidP="004E1F05">
      <w:pPr>
        <w:rPr>
          <w:b/>
          <w:bCs/>
        </w:rPr>
      </w:pPr>
      <w:r w:rsidRPr="004E1F05">
        <w:rPr>
          <w:b/>
          <w:bCs/>
        </w:rPr>
        <w:t xml:space="preserve">public? Please give details. </w:t>
      </w:r>
    </w:p>
    <w:p w14:paraId="1547E6E4" w14:textId="77777777" w:rsidR="004E1F05" w:rsidRPr="004E1F05" w:rsidRDefault="004E1F05" w:rsidP="004E1F05">
      <w:pPr>
        <w:rPr>
          <w:b/>
          <w:bCs/>
        </w:rPr>
      </w:pPr>
      <w:r w:rsidRPr="004E1F05">
        <w:rPr>
          <w:b/>
          <w:bCs/>
        </w:rPr>
        <w:t xml:space="preserve">This should be the main section </w:t>
      </w:r>
    </w:p>
    <w:p w14:paraId="02716D95" w14:textId="77777777" w:rsidR="004E1F05" w:rsidRPr="004E1F05" w:rsidRDefault="004E1F05" w:rsidP="004E1F05">
      <w:pPr>
        <w:rPr>
          <w:b/>
          <w:bCs/>
        </w:rPr>
      </w:pPr>
      <w:r w:rsidRPr="004E1F05">
        <w:rPr>
          <w:b/>
          <w:bCs/>
        </w:rPr>
        <w:t>answered.</w:t>
      </w:r>
    </w:p>
    <w:p w14:paraId="54859BCF" w14:textId="77777777" w:rsidR="004E1F05" w:rsidRPr="004E1F05" w:rsidRDefault="004E1F05" w:rsidP="004E1F05">
      <w:pPr>
        <w:rPr>
          <w:b/>
          <w:bCs/>
        </w:rPr>
      </w:pPr>
      <w:r w:rsidRPr="004E1F05">
        <w:rPr>
          <w:b/>
          <w:bCs/>
        </w:rPr>
        <w:t xml:space="preserve">We found that both treatment groups in our study </w:t>
      </w:r>
    </w:p>
    <w:p w14:paraId="24B73443" w14:textId="77777777" w:rsidR="004E1F05" w:rsidRPr="004E1F05" w:rsidRDefault="004E1F05" w:rsidP="004E1F05">
      <w:pPr>
        <w:rPr>
          <w:b/>
          <w:bCs/>
        </w:rPr>
      </w:pPr>
      <w:r w:rsidRPr="004E1F05">
        <w:rPr>
          <w:b/>
          <w:bCs/>
        </w:rPr>
        <w:t xml:space="preserve">improved on the primary outcome measure, the </w:t>
      </w:r>
    </w:p>
    <w:p w14:paraId="235CB393" w14:textId="77777777" w:rsidR="004E1F05" w:rsidRPr="004E1F05" w:rsidRDefault="004E1F05" w:rsidP="004E1F05">
      <w:pPr>
        <w:rPr>
          <w:b/>
          <w:bCs/>
        </w:rPr>
      </w:pPr>
      <w:r w:rsidRPr="004E1F05">
        <w:rPr>
          <w:b/>
          <w:bCs/>
        </w:rPr>
        <w:t xml:space="preserve">SF36 Physical Function at 12 months, and there </w:t>
      </w:r>
    </w:p>
    <w:p w14:paraId="3661E1F3" w14:textId="77777777" w:rsidR="004E1F05" w:rsidRPr="004E1F05" w:rsidRDefault="004E1F05" w:rsidP="004E1F05">
      <w:pPr>
        <w:rPr>
          <w:b/>
          <w:bCs/>
        </w:rPr>
      </w:pPr>
      <w:r w:rsidRPr="004E1F05">
        <w:rPr>
          <w:b/>
          <w:bCs/>
        </w:rPr>
        <w:t xml:space="preserve">was no difference between groups. However, the </w:t>
      </w:r>
    </w:p>
    <w:p w14:paraId="6425EF0F" w14:textId="77777777" w:rsidR="004E1F05" w:rsidRPr="004E1F05" w:rsidRDefault="004E1F05" w:rsidP="004E1F05">
      <w:pPr>
        <w:rPr>
          <w:b/>
          <w:bCs/>
        </w:rPr>
      </w:pPr>
      <w:r w:rsidRPr="004E1F05">
        <w:rPr>
          <w:b/>
          <w:bCs/>
        </w:rPr>
        <w:t xml:space="preserve">specialist physiotherapy group did perform better on </w:t>
      </w:r>
    </w:p>
    <w:p w14:paraId="1E50ECBD" w14:textId="77777777" w:rsidR="004E1F05" w:rsidRPr="004E1F05" w:rsidRDefault="004E1F05" w:rsidP="004E1F05">
      <w:pPr>
        <w:rPr>
          <w:b/>
          <w:bCs/>
        </w:rPr>
      </w:pPr>
      <w:r w:rsidRPr="004E1F05">
        <w:rPr>
          <w:b/>
          <w:bCs/>
        </w:rPr>
        <w:t xml:space="preserve">a number of secondary outcomes. Additionally, the </w:t>
      </w:r>
    </w:p>
    <w:p w14:paraId="2196E3C8" w14:textId="77777777" w:rsidR="004E1F05" w:rsidRPr="004E1F05" w:rsidRDefault="004E1F05" w:rsidP="004E1F05">
      <w:pPr>
        <w:rPr>
          <w:b/>
          <w:bCs/>
        </w:rPr>
      </w:pPr>
      <w:r w:rsidRPr="004E1F05">
        <w:rPr>
          <w:b/>
          <w:bCs/>
        </w:rPr>
        <w:t xml:space="preserve">health economic report will be publish shortly. </w:t>
      </w:r>
    </w:p>
    <w:p w14:paraId="34AD3052" w14:textId="77777777" w:rsidR="004E1F05" w:rsidRPr="004E1F05" w:rsidRDefault="004E1F05" w:rsidP="004E1F05">
      <w:pPr>
        <w:rPr>
          <w:b/>
          <w:bCs/>
        </w:rPr>
      </w:pPr>
      <w:r w:rsidRPr="004E1F05">
        <w:rPr>
          <w:b/>
          <w:bCs/>
        </w:rPr>
        <w:t xml:space="preserve">These data may support the NHS funding of </w:t>
      </w:r>
    </w:p>
    <w:p w14:paraId="73238A42" w14:textId="77777777" w:rsidR="004E1F05" w:rsidRPr="004E1F05" w:rsidRDefault="004E1F05" w:rsidP="004E1F05">
      <w:pPr>
        <w:rPr>
          <w:b/>
          <w:bCs/>
        </w:rPr>
      </w:pPr>
      <w:r w:rsidRPr="004E1F05">
        <w:rPr>
          <w:b/>
          <w:bCs/>
        </w:rPr>
        <w:t>physiotherapy for FND.</w:t>
      </w:r>
    </w:p>
    <w:p w14:paraId="357C0954" w14:textId="77777777" w:rsidR="004E1F05" w:rsidRPr="004E1F05" w:rsidRDefault="004E1F05" w:rsidP="004E1F05">
      <w:pPr>
        <w:rPr>
          <w:b/>
          <w:bCs/>
        </w:rPr>
      </w:pPr>
      <w:r w:rsidRPr="004E1F05">
        <w:rPr>
          <w:b/>
          <w:bCs/>
        </w:rPr>
        <w:t xml:space="preserve">3 Data </w:t>
      </w:r>
    </w:p>
    <w:p w14:paraId="727E9F06" w14:textId="77777777" w:rsidR="004E1F05" w:rsidRPr="004E1F05" w:rsidRDefault="004E1F05" w:rsidP="004E1F05">
      <w:pPr>
        <w:rPr>
          <w:b/>
          <w:bCs/>
        </w:rPr>
      </w:pPr>
      <w:r w:rsidRPr="004E1F05">
        <w:rPr>
          <w:b/>
          <w:bCs/>
        </w:rPr>
        <w:t xml:space="preserve">What data were </w:t>
      </w:r>
    </w:p>
    <w:p w14:paraId="7EA79C44" w14:textId="77777777" w:rsidR="004E1F05" w:rsidRPr="004E1F05" w:rsidRDefault="004E1F05" w:rsidP="004E1F05">
      <w:pPr>
        <w:rPr>
          <w:b/>
          <w:bCs/>
        </w:rPr>
      </w:pPr>
      <w:r w:rsidRPr="004E1F05">
        <w:rPr>
          <w:b/>
          <w:bCs/>
        </w:rPr>
        <w:t xml:space="preserve">received/processed/collected? </w:t>
      </w:r>
    </w:p>
    <w:p w14:paraId="7F22DCE7" w14:textId="77777777" w:rsidR="004E1F05" w:rsidRPr="004E1F05" w:rsidRDefault="004E1F05" w:rsidP="004E1F05">
      <w:pPr>
        <w:rPr>
          <w:b/>
          <w:bCs/>
        </w:rPr>
      </w:pPr>
      <w:r w:rsidRPr="004E1F05">
        <w:rPr>
          <w:b/>
          <w:bCs/>
        </w:rPr>
        <w:lastRenderedPageBreak/>
        <w:t xml:space="preserve">Was it as expected? Please </w:t>
      </w:r>
    </w:p>
    <w:p w14:paraId="77818206" w14:textId="77777777" w:rsidR="004E1F05" w:rsidRPr="004E1F05" w:rsidRDefault="004E1F05" w:rsidP="004E1F05">
      <w:pPr>
        <w:rPr>
          <w:b/>
          <w:bCs/>
        </w:rPr>
      </w:pPr>
      <w:r w:rsidRPr="004E1F05">
        <w:rPr>
          <w:b/>
          <w:bCs/>
        </w:rPr>
        <w:t>give brief details.</w:t>
      </w:r>
    </w:p>
    <w:p w14:paraId="3E6626FA" w14:textId="77777777" w:rsidR="004E1F05" w:rsidRPr="004E1F05" w:rsidRDefault="004E1F05" w:rsidP="004E1F05">
      <w:pPr>
        <w:rPr>
          <w:b/>
          <w:bCs/>
        </w:rPr>
      </w:pPr>
      <w:r w:rsidRPr="004E1F05">
        <w:rPr>
          <w:b/>
          <w:bCs/>
        </w:rPr>
        <w:t>A&amp;E</w:t>
      </w:r>
    </w:p>
    <w:p w14:paraId="6FF215F7" w14:textId="77777777" w:rsidR="004E1F05" w:rsidRPr="004E1F05" w:rsidRDefault="004E1F05" w:rsidP="004E1F05">
      <w:pPr>
        <w:rPr>
          <w:b/>
          <w:bCs/>
        </w:rPr>
      </w:pPr>
      <w:r w:rsidRPr="004E1F05">
        <w:rPr>
          <w:b/>
          <w:bCs/>
        </w:rPr>
        <w:t>SMR00</w:t>
      </w:r>
    </w:p>
    <w:p w14:paraId="35419A12" w14:textId="77777777" w:rsidR="004E1F05" w:rsidRPr="004E1F05" w:rsidRDefault="004E1F05" w:rsidP="004E1F05">
      <w:pPr>
        <w:rPr>
          <w:b/>
          <w:bCs/>
        </w:rPr>
      </w:pPr>
      <w:r w:rsidRPr="004E1F05">
        <w:rPr>
          <w:b/>
          <w:bCs/>
        </w:rPr>
        <w:t>SMR01</w:t>
      </w:r>
    </w:p>
    <w:p w14:paraId="30C06966" w14:textId="77777777" w:rsidR="004E1F05" w:rsidRPr="004E1F05" w:rsidRDefault="004E1F05" w:rsidP="004E1F05">
      <w:pPr>
        <w:rPr>
          <w:b/>
          <w:bCs/>
        </w:rPr>
      </w:pPr>
      <w:r w:rsidRPr="004E1F05">
        <w:rPr>
          <w:b/>
          <w:bCs/>
        </w:rPr>
        <w:t>SMR04</w:t>
      </w:r>
    </w:p>
    <w:p w14:paraId="6098451F" w14:textId="77777777" w:rsidR="004E1F05" w:rsidRPr="004E1F05" w:rsidRDefault="004E1F05" w:rsidP="004E1F05">
      <w:pPr>
        <w:rPr>
          <w:b/>
          <w:bCs/>
        </w:rPr>
      </w:pPr>
      <w:r w:rsidRPr="004E1F05">
        <w:rPr>
          <w:b/>
          <w:bCs/>
        </w:rPr>
        <w:t xml:space="preserve">4 Methodology </w:t>
      </w:r>
    </w:p>
    <w:p w14:paraId="4CA092A6" w14:textId="77777777" w:rsidR="004E1F05" w:rsidRPr="004E1F05" w:rsidRDefault="004E1F05" w:rsidP="004E1F05">
      <w:pPr>
        <w:rPr>
          <w:b/>
          <w:bCs/>
        </w:rPr>
      </w:pPr>
      <w:r w:rsidRPr="004E1F05">
        <w:rPr>
          <w:b/>
          <w:bCs/>
        </w:rPr>
        <w:t>How did you collect the data? Transfer to the data safe haven</w:t>
      </w:r>
    </w:p>
    <w:p w14:paraId="4726C2B8" w14:textId="77777777" w:rsidR="004E1F05" w:rsidRPr="004E1F05" w:rsidRDefault="004E1F05" w:rsidP="004E1F05">
      <w:pPr>
        <w:rPr>
          <w:b/>
          <w:bCs/>
        </w:rPr>
      </w:pPr>
      <w:r w:rsidRPr="004E1F05">
        <w:rPr>
          <w:b/>
          <w:bCs/>
        </w:rPr>
        <w:t xml:space="preserve">How did you process the data? Within the data safe haven. Only aggregate, </w:t>
      </w:r>
    </w:p>
    <w:p w14:paraId="3508F392" w14:textId="77777777" w:rsidR="004E1F05" w:rsidRPr="004E1F05" w:rsidRDefault="004E1F05" w:rsidP="004E1F05">
      <w:pPr>
        <w:rPr>
          <w:b/>
          <w:bCs/>
        </w:rPr>
      </w:pPr>
      <w:r w:rsidRPr="004E1F05">
        <w:rPr>
          <w:b/>
          <w:bCs/>
        </w:rPr>
        <w:t>unidentifiable data was reported.</w:t>
      </w:r>
    </w:p>
    <w:p w14:paraId="33750301" w14:textId="77777777" w:rsidR="004E1F05" w:rsidRPr="004E1F05" w:rsidRDefault="004E1F05" w:rsidP="004E1F05">
      <w:pPr>
        <w:rPr>
          <w:b/>
          <w:bCs/>
        </w:rPr>
      </w:pPr>
      <w:r w:rsidRPr="004E1F05">
        <w:rPr>
          <w:b/>
          <w:bCs/>
        </w:rPr>
        <w:t xml:space="preserve">How did you provision/publish </w:t>
      </w:r>
    </w:p>
    <w:p w14:paraId="2B010479" w14:textId="77777777" w:rsidR="004E1F05" w:rsidRPr="004E1F05" w:rsidRDefault="004E1F05" w:rsidP="004E1F05">
      <w:pPr>
        <w:rPr>
          <w:b/>
          <w:bCs/>
        </w:rPr>
      </w:pPr>
      <w:r w:rsidRPr="004E1F05">
        <w:rPr>
          <w:b/>
          <w:bCs/>
        </w:rPr>
        <w:t>the information?</w:t>
      </w:r>
    </w:p>
    <w:p w14:paraId="611557E4" w14:textId="77777777" w:rsidR="004E1F05" w:rsidRPr="004E1F05" w:rsidRDefault="004E1F05" w:rsidP="004E1F05">
      <w:pPr>
        <w:rPr>
          <w:b/>
          <w:bCs/>
        </w:rPr>
      </w:pPr>
      <w:r w:rsidRPr="004E1F05">
        <w:rPr>
          <w:b/>
          <w:bCs/>
        </w:rPr>
        <w:t>As described above</w:t>
      </w:r>
    </w:p>
    <w:p w14:paraId="0AD9C00A" w14:textId="77777777" w:rsidR="004E1F05" w:rsidRPr="004E1F05" w:rsidRDefault="004E1F05" w:rsidP="004E1F05">
      <w:pPr>
        <w:rPr>
          <w:b/>
          <w:bCs/>
        </w:rPr>
      </w:pPr>
      <w:r w:rsidRPr="004E1F05">
        <w:rPr>
          <w:b/>
          <w:bCs/>
        </w:rPr>
        <w:t xml:space="preserve">Did your study scope change </w:t>
      </w:r>
    </w:p>
    <w:p w14:paraId="5EA8FCEC" w14:textId="77777777" w:rsidR="004E1F05" w:rsidRPr="004E1F05" w:rsidRDefault="004E1F05" w:rsidP="004E1F05">
      <w:pPr>
        <w:rPr>
          <w:b/>
          <w:bCs/>
        </w:rPr>
      </w:pPr>
      <w:r w:rsidRPr="004E1F05">
        <w:rPr>
          <w:b/>
          <w:bCs/>
        </w:rPr>
        <w:t xml:space="preserve">from its original aims? Please </w:t>
      </w:r>
    </w:p>
    <w:p w14:paraId="13FBD9E8" w14:textId="77777777" w:rsidR="004E1F05" w:rsidRPr="004E1F05" w:rsidRDefault="004E1F05" w:rsidP="004E1F05">
      <w:pPr>
        <w:rPr>
          <w:b/>
          <w:bCs/>
        </w:rPr>
      </w:pPr>
      <w:r w:rsidRPr="004E1F05">
        <w:rPr>
          <w:b/>
          <w:bCs/>
        </w:rPr>
        <w:t>give brief details.</w:t>
      </w:r>
    </w:p>
    <w:p w14:paraId="3FE34989" w14:textId="77777777" w:rsidR="004E1F05" w:rsidRPr="004E1F05" w:rsidRDefault="004E1F05" w:rsidP="004E1F05">
      <w:pPr>
        <w:rPr>
          <w:b/>
          <w:bCs/>
        </w:rPr>
      </w:pPr>
      <w:r w:rsidRPr="004E1F05">
        <w:rPr>
          <w:b/>
          <w:bCs/>
        </w:rPr>
        <w:t>No</w:t>
      </w:r>
    </w:p>
    <w:p w14:paraId="0D88E5B6" w14:textId="77777777" w:rsidR="004E1F05" w:rsidRPr="004E1F05" w:rsidRDefault="004E1F05" w:rsidP="004E1F05">
      <w:pPr>
        <w:rPr>
          <w:b/>
          <w:bCs/>
        </w:rPr>
      </w:pPr>
      <w:r w:rsidRPr="004E1F05">
        <w:rPr>
          <w:b/>
          <w:bCs/>
        </w:rPr>
        <w:t xml:space="preserve">5 Outcomes: </w:t>
      </w:r>
    </w:p>
    <w:p w14:paraId="57E141E5" w14:textId="77777777" w:rsidR="004E1F05" w:rsidRPr="004E1F05" w:rsidRDefault="004E1F05" w:rsidP="004E1F05">
      <w:pPr>
        <w:rPr>
          <w:b/>
          <w:bCs/>
        </w:rPr>
      </w:pPr>
      <w:r w:rsidRPr="004E1F05">
        <w:rPr>
          <w:b/>
          <w:bCs/>
        </w:rPr>
        <w:t xml:space="preserve">Public Benefit and Privacy Panel for Health and Social Care </w:t>
      </w:r>
    </w:p>
    <w:p w14:paraId="77A9D2AB" w14:textId="77777777" w:rsidR="004E1F05" w:rsidRPr="004E1F05" w:rsidRDefault="004E1F05" w:rsidP="004E1F05">
      <w:pPr>
        <w:rPr>
          <w:b/>
          <w:bCs/>
        </w:rPr>
      </w:pPr>
      <w:r w:rsidRPr="004E1F05">
        <w:rPr>
          <w:b/>
          <w:bCs/>
        </w:rPr>
        <w:t>End of Project Declaration and Summary</w:t>
      </w:r>
    </w:p>
    <w:p w14:paraId="4903DA37" w14:textId="77777777" w:rsidR="004E1F05" w:rsidRPr="004E1F05" w:rsidRDefault="004E1F05" w:rsidP="004E1F05">
      <w:pPr>
        <w:rPr>
          <w:b/>
          <w:bCs/>
        </w:rPr>
      </w:pPr>
      <w:r w:rsidRPr="004E1F05">
        <w:rPr>
          <w:b/>
          <w:bCs/>
        </w:rPr>
        <w:t>End of Project Declaration and Summary Report V0.1 RH GN</w:t>
      </w:r>
    </w:p>
    <w:p w14:paraId="33D73FA1" w14:textId="77777777" w:rsidR="004E1F05" w:rsidRPr="004E1F05" w:rsidRDefault="004E1F05" w:rsidP="004E1F05">
      <w:pPr>
        <w:rPr>
          <w:b/>
          <w:bCs/>
        </w:rPr>
      </w:pPr>
      <w:r w:rsidRPr="004E1F05">
        <w:rPr>
          <w:b/>
          <w:bCs/>
        </w:rPr>
        <w:t xml:space="preserve">The outcomes / results of your </w:t>
      </w:r>
    </w:p>
    <w:p w14:paraId="63B0E08C" w14:textId="77777777" w:rsidR="004E1F05" w:rsidRPr="004E1F05" w:rsidRDefault="004E1F05" w:rsidP="004E1F05">
      <w:pPr>
        <w:rPr>
          <w:b/>
          <w:bCs/>
        </w:rPr>
      </w:pPr>
      <w:r w:rsidRPr="004E1F05">
        <w:rPr>
          <w:b/>
          <w:bCs/>
        </w:rPr>
        <w:t xml:space="preserve">proposal. Please give brief </w:t>
      </w:r>
    </w:p>
    <w:p w14:paraId="13A34BA1" w14:textId="77777777" w:rsidR="004E1F05" w:rsidRPr="004E1F05" w:rsidRDefault="004E1F05" w:rsidP="004E1F05">
      <w:pPr>
        <w:rPr>
          <w:b/>
          <w:bCs/>
        </w:rPr>
      </w:pPr>
      <w:r w:rsidRPr="004E1F05">
        <w:rPr>
          <w:b/>
          <w:bCs/>
        </w:rPr>
        <w:t>details.</w:t>
      </w:r>
    </w:p>
    <w:p w14:paraId="7A99211F" w14:textId="77777777" w:rsidR="004E1F05" w:rsidRPr="004E1F05" w:rsidRDefault="004E1F05" w:rsidP="004E1F05">
      <w:pPr>
        <w:rPr>
          <w:b/>
          <w:bCs/>
        </w:rPr>
      </w:pPr>
      <w:r w:rsidRPr="004E1F05">
        <w:rPr>
          <w:b/>
          <w:bCs/>
        </w:rPr>
        <w:t xml:space="preserve">People with functional neurological disorder have </w:t>
      </w:r>
    </w:p>
    <w:p w14:paraId="5F98A6F5" w14:textId="77777777" w:rsidR="004E1F05" w:rsidRPr="004E1F05" w:rsidRDefault="004E1F05" w:rsidP="004E1F05">
      <w:pPr>
        <w:rPr>
          <w:b/>
          <w:bCs/>
        </w:rPr>
      </w:pPr>
      <w:r w:rsidRPr="004E1F05">
        <w:rPr>
          <w:b/>
          <w:bCs/>
        </w:rPr>
        <w:t xml:space="preserve">high health care needs, which corresponds to high </w:t>
      </w:r>
    </w:p>
    <w:p w14:paraId="7E49F937" w14:textId="77777777" w:rsidR="004E1F05" w:rsidRPr="004E1F05" w:rsidRDefault="004E1F05" w:rsidP="004E1F05">
      <w:pPr>
        <w:rPr>
          <w:b/>
          <w:bCs/>
        </w:rPr>
      </w:pPr>
      <w:r w:rsidRPr="004E1F05">
        <w:rPr>
          <w:b/>
          <w:bCs/>
        </w:rPr>
        <w:t xml:space="preserve">costs. The health economic analysis, which was </w:t>
      </w:r>
    </w:p>
    <w:p w14:paraId="76EAA89D" w14:textId="77777777" w:rsidR="004E1F05" w:rsidRPr="004E1F05" w:rsidRDefault="004E1F05" w:rsidP="004E1F05">
      <w:pPr>
        <w:rPr>
          <w:b/>
          <w:bCs/>
        </w:rPr>
      </w:pPr>
      <w:r w:rsidRPr="004E1F05">
        <w:rPr>
          <w:b/>
          <w:bCs/>
        </w:rPr>
        <w:lastRenderedPageBreak/>
        <w:t xml:space="preserve">validated by digital data found that there was a high </w:t>
      </w:r>
    </w:p>
    <w:p w14:paraId="23539622" w14:textId="77777777" w:rsidR="004E1F05" w:rsidRPr="004E1F05" w:rsidRDefault="004E1F05" w:rsidP="004E1F05">
      <w:pPr>
        <w:rPr>
          <w:b/>
          <w:bCs/>
        </w:rPr>
      </w:pPr>
      <w:r w:rsidRPr="004E1F05">
        <w:rPr>
          <w:b/>
          <w:bCs/>
        </w:rPr>
        <w:t xml:space="preserve">probability that specialist physiotherapy was a cost </w:t>
      </w:r>
    </w:p>
    <w:p w14:paraId="58B35D02" w14:textId="77777777" w:rsidR="004E1F05" w:rsidRPr="004E1F05" w:rsidRDefault="004E1F05" w:rsidP="004E1F05">
      <w:pPr>
        <w:rPr>
          <w:b/>
          <w:bCs/>
        </w:rPr>
      </w:pPr>
      <w:r w:rsidRPr="004E1F05">
        <w:rPr>
          <w:b/>
          <w:bCs/>
        </w:rPr>
        <w:t xml:space="preserve">effective intervention compared to treatment as </w:t>
      </w:r>
    </w:p>
    <w:p w14:paraId="7403FA94" w14:textId="77777777" w:rsidR="004E1F05" w:rsidRPr="004E1F05" w:rsidRDefault="004E1F05" w:rsidP="004E1F05">
      <w:pPr>
        <w:rPr>
          <w:b/>
          <w:bCs/>
        </w:rPr>
      </w:pPr>
      <w:r w:rsidRPr="004E1F05">
        <w:rPr>
          <w:b/>
          <w:bCs/>
        </w:rPr>
        <w:t xml:space="preserve">usual physiotherapy, at the £20,000 cost per QALY </w:t>
      </w:r>
    </w:p>
    <w:p w14:paraId="57B0EC56" w14:textId="77777777" w:rsidR="004E1F05" w:rsidRPr="004E1F05" w:rsidRDefault="004E1F05" w:rsidP="004E1F05">
      <w:pPr>
        <w:rPr>
          <w:b/>
          <w:bCs/>
        </w:rPr>
      </w:pPr>
      <w:r w:rsidRPr="004E1F05">
        <w:rPr>
          <w:b/>
          <w:bCs/>
        </w:rPr>
        <w:t xml:space="preserve">threshold. </w:t>
      </w:r>
    </w:p>
    <w:p w14:paraId="396780BA" w14:textId="77777777" w:rsidR="004E1F05" w:rsidRPr="004E1F05" w:rsidRDefault="004E1F05" w:rsidP="004E1F05">
      <w:pPr>
        <w:rPr>
          <w:b/>
          <w:bCs/>
        </w:rPr>
      </w:pPr>
      <w:r w:rsidRPr="004E1F05">
        <w:rPr>
          <w:b/>
          <w:bCs/>
        </w:rPr>
        <w:t>6 Future Questions:</w:t>
      </w:r>
    </w:p>
    <w:p w14:paraId="52C21F1C" w14:textId="77777777" w:rsidR="004E1F05" w:rsidRPr="004E1F05" w:rsidRDefault="004E1F05" w:rsidP="004E1F05">
      <w:pPr>
        <w:rPr>
          <w:b/>
          <w:bCs/>
        </w:rPr>
      </w:pPr>
      <w:r w:rsidRPr="004E1F05">
        <w:rPr>
          <w:b/>
          <w:bCs/>
        </w:rPr>
        <w:t xml:space="preserve">Have the processes / results </w:t>
      </w:r>
    </w:p>
    <w:p w14:paraId="7C305035" w14:textId="77777777" w:rsidR="004E1F05" w:rsidRPr="004E1F05" w:rsidRDefault="004E1F05" w:rsidP="004E1F05">
      <w:pPr>
        <w:rPr>
          <w:b/>
          <w:bCs/>
        </w:rPr>
      </w:pPr>
      <w:r w:rsidRPr="004E1F05">
        <w:rPr>
          <w:b/>
          <w:bCs/>
        </w:rPr>
        <w:t xml:space="preserve">raised further questions for </w:t>
      </w:r>
    </w:p>
    <w:p w14:paraId="6481F5B1" w14:textId="77777777" w:rsidR="004E1F05" w:rsidRPr="004E1F05" w:rsidRDefault="004E1F05" w:rsidP="004E1F05">
      <w:pPr>
        <w:rPr>
          <w:b/>
          <w:bCs/>
        </w:rPr>
      </w:pPr>
      <w:r w:rsidRPr="004E1F05">
        <w:rPr>
          <w:b/>
          <w:bCs/>
        </w:rPr>
        <w:t xml:space="preserve">future exploration? Please give </w:t>
      </w:r>
    </w:p>
    <w:p w14:paraId="68BB6BA1" w14:textId="77777777" w:rsidR="004E1F05" w:rsidRPr="004E1F05" w:rsidRDefault="004E1F05" w:rsidP="004E1F05">
      <w:pPr>
        <w:rPr>
          <w:b/>
          <w:bCs/>
        </w:rPr>
      </w:pPr>
      <w:r w:rsidRPr="004E1F05">
        <w:rPr>
          <w:b/>
          <w:bCs/>
        </w:rPr>
        <w:t>brief details.</w:t>
      </w:r>
    </w:p>
    <w:p w14:paraId="791CE1A4" w14:textId="77777777" w:rsidR="004E1F05" w:rsidRPr="004E1F05" w:rsidRDefault="004E1F05" w:rsidP="004E1F05">
      <w:pPr>
        <w:rPr>
          <w:b/>
          <w:bCs/>
        </w:rPr>
      </w:pPr>
      <w:r w:rsidRPr="004E1F05">
        <w:rPr>
          <w:b/>
          <w:bCs/>
        </w:rPr>
        <w:t xml:space="preserve">We noted differences between self report health </w:t>
      </w:r>
    </w:p>
    <w:p w14:paraId="64094ED5" w14:textId="77777777" w:rsidR="004E1F05" w:rsidRPr="004E1F05" w:rsidRDefault="004E1F05" w:rsidP="004E1F05">
      <w:pPr>
        <w:rPr>
          <w:b/>
          <w:bCs/>
        </w:rPr>
      </w:pPr>
      <w:r w:rsidRPr="004E1F05">
        <w:rPr>
          <w:b/>
          <w:bCs/>
        </w:rPr>
        <w:t xml:space="preserve">care use and digital data. Both data streams have </w:t>
      </w:r>
    </w:p>
    <w:p w14:paraId="54221DC4" w14:textId="77777777" w:rsidR="004E1F05" w:rsidRPr="004E1F05" w:rsidRDefault="004E1F05" w:rsidP="004E1F05">
      <w:pPr>
        <w:rPr>
          <w:b/>
          <w:bCs/>
        </w:rPr>
      </w:pPr>
      <w:r w:rsidRPr="004E1F05">
        <w:rPr>
          <w:b/>
          <w:bCs/>
        </w:rPr>
        <w:t xml:space="preserve">their strengths and weaknesses and we recommend </w:t>
      </w:r>
    </w:p>
    <w:p w14:paraId="3BDCC09E" w14:textId="77777777" w:rsidR="004E1F05" w:rsidRPr="004E1F05" w:rsidRDefault="004E1F05" w:rsidP="004E1F05">
      <w:pPr>
        <w:rPr>
          <w:b/>
          <w:bCs/>
        </w:rPr>
      </w:pPr>
      <w:r w:rsidRPr="004E1F05">
        <w:rPr>
          <w:b/>
          <w:bCs/>
        </w:rPr>
        <w:t xml:space="preserve">a hybrid approach to evaluating resource use and </w:t>
      </w:r>
    </w:p>
    <w:p w14:paraId="167CA48E" w14:textId="1ED65421" w:rsidR="004E1F05" w:rsidRPr="004E1F05" w:rsidRDefault="004E1F05" w:rsidP="004E1F05">
      <w:pPr>
        <w:rPr>
          <w:b/>
          <w:bCs/>
        </w:rPr>
      </w:pPr>
      <w:r w:rsidRPr="004E1F05">
        <w:rPr>
          <w:b/>
          <w:bCs/>
        </w:rPr>
        <w:t>costs in people with functional neurological disorder.</w:t>
      </w:r>
      <w:r w:rsidRPr="004E1F05">
        <w:rPr>
          <w:b/>
          <w:bCs/>
        </w:rPr>
        <w:cr/>
      </w:r>
    </w:p>
    <w:p w14:paraId="669CEC80" w14:textId="77777777" w:rsidR="004B53D4" w:rsidRDefault="004B53D4" w:rsidP="004B53D4"/>
    <w:p w14:paraId="3A6600DA" w14:textId="77777777" w:rsidR="004B53D4" w:rsidRDefault="004B53D4" w:rsidP="004B53D4"/>
    <w:p w14:paraId="611B8217" w14:textId="77777777" w:rsidR="004B53D4" w:rsidRDefault="004B53D4" w:rsidP="004B53D4"/>
    <w:p w14:paraId="6AC350D4" w14:textId="77777777" w:rsidR="004B53D4" w:rsidRPr="004B53D4" w:rsidRDefault="004B53D4" w:rsidP="004B53D4"/>
    <w:p w14:paraId="1C3CAA29" w14:textId="77777777" w:rsidR="00E125B7" w:rsidRPr="0038179E" w:rsidRDefault="00E125B7" w:rsidP="00DD34B7">
      <w:pPr>
        <w:pStyle w:val="NoSpacing"/>
        <w:rPr>
          <w:rFonts w:cstheme="minorHAnsi"/>
        </w:rPr>
      </w:pPr>
    </w:p>
    <w:p w14:paraId="4C6F8EED" w14:textId="77777777" w:rsidR="00E125B7" w:rsidRDefault="00E125B7" w:rsidP="00E8156A">
      <w:pPr>
        <w:pStyle w:val="Heading2"/>
      </w:pPr>
      <w:bookmarkStart w:id="32" w:name="_2021-0051_Kyle_Gibson"/>
      <w:bookmarkStart w:id="33" w:name="_1920-0083_Ms_Linsey"/>
      <w:bookmarkEnd w:id="32"/>
      <w:bookmarkEnd w:id="33"/>
      <w:r w:rsidRPr="00264EEE">
        <w:t>1920-0083</w:t>
      </w:r>
      <w:r>
        <w:tab/>
      </w:r>
      <w:r w:rsidRPr="00264EEE">
        <w:t>Ms Linsey Galbraith</w:t>
      </w:r>
    </w:p>
    <w:p w14:paraId="6ECAEBC4" w14:textId="77777777" w:rsidR="00E125B7" w:rsidRDefault="00E125B7" w:rsidP="00E125B7">
      <w:pPr>
        <w:pStyle w:val="NoSpacing"/>
        <w:rPr>
          <w:b/>
          <w:sz w:val="24"/>
          <w:szCs w:val="24"/>
        </w:rPr>
      </w:pPr>
    </w:p>
    <w:p w14:paraId="79C3BDF4" w14:textId="77777777" w:rsidR="00E125B7" w:rsidRDefault="00E125B7" w:rsidP="00E125B7">
      <w:pPr>
        <w:pStyle w:val="NoSpacing"/>
        <w:rPr>
          <w:b/>
          <w:sz w:val="24"/>
          <w:szCs w:val="24"/>
        </w:rPr>
      </w:pPr>
      <w:r w:rsidRPr="00264EEE">
        <w:rPr>
          <w:b/>
          <w:sz w:val="24"/>
          <w:szCs w:val="24"/>
        </w:rPr>
        <w:t>Ms Linsey Galbraith</w:t>
      </w:r>
    </w:p>
    <w:p w14:paraId="655B2E4D" w14:textId="77777777" w:rsidR="00E125B7" w:rsidRDefault="00E125B7" w:rsidP="00E125B7">
      <w:pPr>
        <w:pStyle w:val="NoSpacing"/>
        <w:rPr>
          <w:b/>
          <w:sz w:val="24"/>
          <w:szCs w:val="24"/>
        </w:rPr>
      </w:pPr>
    </w:p>
    <w:p w14:paraId="760C3921" w14:textId="77777777" w:rsidR="00E125B7" w:rsidRDefault="00E125B7" w:rsidP="00E125B7">
      <w:pPr>
        <w:pStyle w:val="NoSpacing"/>
        <w:rPr>
          <w:b/>
          <w:sz w:val="24"/>
          <w:szCs w:val="24"/>
        </w:rPr>
      </w:pPr>
      <w:bookmarkStart w:id="34" w:name="_Hlk126054723"/>
      <w:r w:rsidRPr="00264EEE">
        <w:rPr>
          <w:b/>
          <w:sz w:val="24"/>
          <w:szCs w:val="24"/>
        </w:rPr>
        <w:t>End of Project Summary</w:t>
      </w:r>
    </w:p>
    <w:bookmarkEnd w:id="34"/>
    <w:p w14:paraId="558C477C" w14:textId="09E8ED6D" w:rsidR="00E125B7" w:rsidRDefault="00E125B7" w:rsidP="00E125B7">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125B7" w:rsidRPr="00264EEE" w14:paraId="28EC5996" w14:textId="77777777" w:rsidTr="00410F1B">
        <w:trPr>
          <w:trHeight w:hRule="exact" w:val="567"/>
        </w:trPr>
        <w:tc>
          <w:tcPr>
            <w:tcW w:w="188" w:type="pct"/>
            <w:shd w:val="clear" w:color="auto" w:fill="B8CCE4" w:themeFill="accent1" w:themeFillTint="66"/>
            <w:vAlign w:val="center"/>
          </w:tcPr>
          <w:p w14:paraId="019F316C"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1</w:t>
            </w:r>
          </w:p>
        </w:tc>
        <w:tc>
          <w:tcPr>
            <w:tcW w:w="1863" w:type="pct"/>
            <w:shd w:val="clear" w:color="auto" w:fill="B8CCE4" w:themeFill="accent1" w:themeFillTint="66"/>
            <w:vAlign w:val="center"/>
          </w:tcPr>
          <w:p w14:paraId="5337B9C0"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Aims</w:t>
            </w:r>
          </w:p>
        </w:tc>
        <w:tc>
          <w:tcPr>
            <w:tcW w:w="2949" w:type="pct"/>
            <w:shd w:val="clear" w:color="auto" w:fill="B8CCE4" w:themeFill="accent1" w:themeFillTint="66"/>
            <w:vAlign w:val="center"/>
          </w:tcPr>
          <w:p w14:paraId="1BDDD977" w14:textId="77777777" w:rsidR="00E125B7" w:rsidRPr="00264EEE" w:rsidRDefault="00E125B7" w:rsidP="00410F1B">
            <w:pPr>
              <w:ind w:left="360"/>
              <w:jc w:val="both"/>
              <w:rPr>
                <w:rFonts w:ascii="Arial" w:eastAsia="Times New Roman" w:hAnsi="Arial" w:cs="Arial"/>
                <w:lang w:eastAsia="en-GB"/>
              </w:rPr>
            </w:pPr>
          </w:p>
        </w:tc>
      </w:tr>
      <w:tr w:rsidR="00E125B7" w:rsidRPr="00264EEE" w14:paraId="6D0D41B7" w14:textId="77777777" w:rsidTr="00410F1B">
        <w:trPr>
          <w:trHeight w:hRule="exact" w:val="924"/>
        </w:trPr>
        <w:tc>
          <w:tcPr>
            <w:tcW w:w="188" w:type="pct"/>
            <w:tcBorders>
              <w:bottom w:val="single" w:sz="4" w:space="0" w:color="auto"/>
            </w:tcBorders>
            <w:vAlign w:val="center"/>
          </w:tcPr>
          <w:p w14:paraId="0E35A18B" w14:textId="77777777" w:rsidR="00E125B7" w:rsidRPr="00264EEE"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3A830100"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4ECA3CFC" w14:textId="77777777" w:rsidR="00E125B7" w:rsidRPr="00264EEE" w:rsidRDefault="00E125B7" w:rsidP="00410F1B">
            <w:pPr>
              <w:tabs>
                <w:tab w:val="left" w:pos="459"/>
                <w:tab w:val="left" w:pos="1440"/>
                <w:tab w:val="left" w:pos="2160"/>
                <w:tab w:val="left" w:pos="2880"/>
                <w:tab w:val="left" w:pos="4680"/>
                <w:tab w:val="left" w:pos="5400"/>
                <w:tab w:val="right" w:pos="9000"/>
              </w:tabs>
              <w:ind w:left="99"/>
              <w:rPr>
                <w:rFonts w:ascii="Arial" w:eastAsia="Times New Roman" w:hAnsi="Arial" w:cs="Arial"/>
                <w:sz w:val="20"/>
                <w:szCs w:val="20"/>
                <w:lang w:eastAsia="en-GB"/>
              </w:rPr>
            </w:pPr>
            <w:r w:rsidRPr="00264EEE">
              <w:rPr>
                <w:rFonts w:ascii="Arial" w:eastAsia="Times New Roman" w:hAnsi="Arial" w:cs="Arial"/>
                <w:sz w:val="20"/>
                <w:szCs w:val="20"/>
                <w:lang w:eastAsia="en-GB"/>
              </w:rPr>
              <w:t>To</w:t>
            </w:r>
            <w:r w:rsidRPr="00264EEE">
              <w:rPr>
                <w:rFonts w:ascii="Arial" w:eastAsia="Times New Roman" w:hAnsi="Arial" w:cs="Arial"/>
                <w:sz w:val="20"/>
                <w:szCs w:val="20"/>
              </w:rPr>
              <w:t xml:space="preserve"> enable national reporting, for the first time, on referrals to tier 2 and 3 weight management services, based on a new </w:t>
            </w:r>
            <w:r w:rsidRPr="00264EEE">
              <w:rPr>
                <w:rFonts w:ascii="Arial" w:eastAsia="Times New Roman" w:hAnsi="Arial" w:cs="Arial"/>
                <w:color w:val="000000" w:themeColor="text1"/>
                <w:sz w:val="20"/>
                <w:szCs w:val="20"/>
              </w:rPr>
              <w:t xml:space="preserve">standardised core dataset. </w:t>
            </w:r>
          </w:p>
          <w:p w14:paraId="3F925D2C"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p>
        </w:tc>
      </w:tr>
      <w:tr w:rsidR="00E125B7" w:rsidRPr="00264EEE" w14:paraId="7FD57644" w14:textId="77777777" w:rsidTr="00410F1B">
        <w:trPr>
          <w:trHeight w:hRule="exact" w:val="567"/>
        </w:trPr>
        <w:tc>
          <w:tcPr>
            <w:tcW w:w="188" w:type="pct"/>
            <w:shd w:val="clear" w:color="auto" w:fill="B8CCE4" w:themeFill="accent1" w:themeFillTint="66"/>
            <w:vAlign w:val="center"/>
          </w:tcPr>
          <w:p w14:paraId="309EF66D"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lastRenderedPageBreak/>
              <w:t>2</w:t>
            </w:r>
          </w:p>
        </w:tc>
        <w:tc>
          <w:tcPr>
            <w:tcW w:w="1863" w:type="pct"/>
            <w:shd w:val="clear" w:color="auto" w:fill="B8CCE4" w:themeFill="accent1" w:themeFillTint="66"/>
            <w:vAlign w:val="center"/>
          </w:tcPr>
          <w:p w14:paraId="5D6091A2"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Public Benefit Impact</w:t>
            </w:r>
          </w:p>
        </w:tc>
        <w:tc>
          <w:tcPr>
            <w:tcW w:w="2949" w:type="pct"/>
            <w:shd w:val="clear" w:color="auto" w:fill="B8CCE4" w:themeFill="accent1" w:themeFillTint="66"/>
            <w:vAlign w:val="center"/>
          </w:tcPr>
          <w:p w14:paraId="5CBFCC1E" w14:textId="77777777" w:rsidR="00E125B7" w:rsidRPr="00264EEE" w:rsidRDefault="00E125B7" w:rsidP="00410F1B">
            <w:pPr>
              <w:ind w:left="360"/>
              <w:jc w:val="both"/>
              <w:rPr>
                <w:rFonts w:ascii="Arial" w:eastAsia="Times New Roman" w:hAnsi="Arial" w:cs="Arial"/>
                <w:lang w:eastAsia="en-GB"/>
              </w:rPr>
            </w:pPr>
          </w:p>
          <w:p w14:paraId="450673B0" w14:textId="77777777" w:rsidR="00E125B7" w:rsidRPr="00264EEE" w:rsidRDefault="00E125B7" w:rsidP="00410F1B">
            <w:pPr>
              <w:rPr>
                <w:rFonts w:ascii="Arial" w:eastAsia="Times New Roman" w:hAnsi="Arial" w:cs="Arial"/>
                <w:lang w:eastAsia="en-GB"/>
              </w:rPr>
            </w:pPr>
          </w:p>
          <w:p w14:paraId="23910A25" w14:textId="77777777" w:rsidR="00E125B7" w:rsidRPr="00264EEE" w:rsidRDefault="00E125B7" w:rsidP="00410F1B">
            <w:pPr>
              <w:rPr>
                <w:rFonts w:ascii="Arial" w:eastAsia="Times New Roman" w:hAnsi="Arial" w:cs="Arial"/>
                <w:lang w:eastAsia="en-GB"/>
              </w:rPr>
            </w:pPr>
          </w:p>
          <w:p w14:paraId="0E3EF3CD" w14:textId="77777777" w:rsidR="00E125B7" w:rsidRPr="00264EEE" w:rsidRDefault="00E125B7" w:rsidP="00410F1B">
            <w:pPr>
              <w:rPr>
                <w:rFonts w:ascii="Arial" w:eastAsia="Times New Roman" w:hAnsi="Arial" w:cs="Arial"/>
                <w:lang w:eastAsia="en-GB"/>
              </w:rPr>
            </w:pPr>
          </w:p>
          <w:p w14:paraId="201BC875" w14:textId="77777777" w:rsidR="00E125B7" w:rsidRPr="00264EEE" w:rsidRDefault="00E125B7" w:rsidP="00410F1B">
            <w:pPr>
              <w:rPr>
                <w:rFonts w:ascii="Arial" w:eastAsia="Times New Roman" w:hAnsi="Arial" w:cs="Arial"/>
                <w:lang w:eastAsia="en-GB"/>
              </w:rPr>
            </w:pPr>
          </w:p>
          <w:p w14:paraId="64E5E0D5" w14:textId="77777777" w:rsidR="00E125B7" w:rsidRPr="00264EEE" w:rsidRDefault="00E125B7" w:rsidP="00410F1B">
            <w:pPr>
              <w:rPr>
                <w:rFonts w:ascii="Arial" w:eastAsia="Times New Roman" w:hAnsi="Arial" w:cs="Arial"/>
                <w:lang w:eastAsia="en-GB"/>
              </w:rPr>
            </w:pPr>
          </w:p>
          <w:p w14:paraId="61EF2B49" w14:textId="77777777" w:rsidR="00E125B7" w:rsidRPr="00264EEE" w:rsidRDefault="00E125B7" w:rsidP="00410F1B">
            <w:pPr>
              <w:rPr>
                <w:rFonts w:ascii="Arial" w:eastAsia="Times New Roman" w:hAnsi="Arial" w:cs="Arial"/>
                <w:lang w:eastAsia="en-GB"/>
              </w:rPr>
            </w:pPr>
          </w:p>
          <w:p w14:paraId="2F5C7C8B" w14:textId="77777777" w:rsidR="00E125B7" w:rsidRPr="00264EEE" w:rsidRDefault="00E125B7" w:rsidP="00410F1B">
            <w:pPr>
              <w:rPr>
                <w:rFonts w:ascii="Arial" w:eastAsia="Times New Roman" w:hAnsi="Arial" w:cs="Arial"/>
                <w:lang w:eastAsia="en-GB"/>
              </w:rPr>
            </w:pPr>
          </w:p>
          <w:p w14:paraId="0A229EFD" w14:textId="77777777" w:rsidR="00E125B7" w:rsidRPr="00264EEE" w:rsidRDefault="00E125B7" w:rsidP="00410F1B">
            <w:pPr>
              <w:rPr>
                <w:rFonts w:ascii="Arial" w:eastAsia="Times New Roman" w:hAnsi="Arial" w:cs="Arial"/>
                <w:lang w:eastAsia="en-GB"/>
              </w:rPr>
            </w:pPr>
          </w:p>
          <w:p w14:paraId="6D3A161E" w14:textId="77777777" w:rsidR="00E125B7" w:rsidRPr="00264EEE" w:rsidRDefault="00E125B7" w:rsidP="00410F1B">
            <w:pPr>
              <w:rPr>
                <w:rFonts w:ascii="Arial" w:eastAsia="Times New Roman" w:hAnsi="Arial" w:cs="Arial"/>
                <w:lang w:eastAsia="en-GB"/>
              </w:rPr>
            </w:pPr>
          </w:p>
          <w:p w14:paraId="686F5E4E" w14:textId="77777777" w:rsidR="00E125B7" w:rsidRPr="00264EEE" w:rsidRDefault="00E125B7" w:rsidP="00410F1B">
            <w:pPr>
              <w:rPr>
                <w:rFonts w:ascii="Arial" w:eastAsia="Times New Roman" w:hAnsi="Arial" w:cs="Arial"/>
                <w:lang w:eastAsia="en-GB"/>
              </w:rPr>
            </w:pPr>
          </w:p>
          <w:p w14:paraId="1381B546" w14:textId="77777777" w:rsidR="00E125B7" w:rsidRPr="00264EEE" w:rsidRDefault="00E125B7" w:rsidP="00410F1B">
            <w:pPr>
              <w:rPr>
                <w:rFonts w:ascii="Arial" w:eastAsia="Times New Roman" w:hAnsi="Arial" w:cs="Arial"/>
                <w:lang w:eastAsia="en-GB"/>
              </w:rPr>
            </w:pPr>
          </w:p>
          <w:p w14:paraId="7213F739" w14:textId="77777777" w:rsidR="00E125B7" w:rsidRPr="00264EEE" w:rsidRDefault="00E125B7" w:rsidP="00410F1B">
            <w:pPr>
              <w:rPr>
                <w:rFonts w:ascii="Arial" w:eastAsia="Times New Roman" w:hAnsi="Arial" w:cs="Arial"/>
                <w:lang w:eastAsia="en-GB"/>
              </w:rPr>
            </w:pPr>
          </w:p>
          <w:p w14:paraId="030039C6" w14:textId="77777777" w:rsidR="00E125B7" w:rsidRPr="00264EEE" w:rsidRDefault="00E125B7" w:rsidP="00410F1B">
            <w:pPr>
              <w:rPr>
                <w:rFonts w:ascii="Arial" w:eastAsia="Times New Roman" w:hAnsi="Arial" w:cs="Arial"/>
                <w:lang w:eastAsia="en-GB"/>
              </w:rPr>
            </w:pPr>
          </w:p>
          <w:p w14:paraId="3AB52258" w14:textId="77777777" w:rsidR="00E125B7" w:rsidRPr="00264EEE" w:rsidRDefault="00E125B7" w:rsidP="00410F1B">
            <w:pPr>
              <w:rPr>
                <w:rFonts w:ascii="Arial" w:eastAsia="Times New Roman" w:hAnsi="Arial" w:cs="Arial"/>
                <w:lang w:eastAsia="en-GB"/>
              </w:rPr>
            </w:pPr>
          </w:p>
          <w:p w14:paraId="51F35366" w14:textId="77777777" w:rsidR="00E125B7" w:rsidRPr="00264EEE" w:rsidRDefault="00E125B7" w:rsidP="00410F1B">
            <w:pPr>
              <w:rPr>
                <w:rFonts w:ascii="Arial" w:eastAsia="Times New Roman" w:hAnsi="Arial" w:cs="Arial"/>
                <w:lang w:eastAsia="en-GB"/>
              </w:rPr>
            </w:pPr>
          </w:p>
          <w:p w14:paraId="7ED36131" w14:textId="77777777" w:rsidR="00E125B7" w:rsidRPr="00264EEE" w:rsidRDefault="00E125B7" w:rsidP="00410F1B">
            <w:pPr>
              <w:rPr>
                <w:rFonts w:ascii="Arial" w:eastAsia="Times New Roman" w:hAnsi="Arial" w:cs="Arial"/>
                <w:lang w:eastAsia="en-GB"/>
              </w:rPr>
            </w:pPr>
          </w:p>
          <w:p w14:paraId="0E449FA5" w14:textId="77777777" w:rsidR="00E125B7" w:rsidRPr="00264EEE" w:rsidRDefault="00E125B7" w:rsidP="00410F1B">
            <w:pPr>
              <w:rPr>
                <w:rFonts w:ascii="Arial" w:eastAsia="Times New Roman" w:hAnsi="Arial" w:cs="Arial"/>
                <w:lang w:eastAsia="en-GB"/>
              </w:rPr>
            </w:pPr>
          </w:p>
          <w:p w14:paraId="79AD46BE" w14:textId="77777777" w:rsidR="00E125B7" w:rsidRPr="00264EEE" w:rsidRDefault="00E125B7" w:rsidP="00410F1B">
            <w:pPr>
              <w:rPr>
                <w:rFonts w:ascii="Arial" w:eastAsia="Times New Roman" w:hAnsi="Arial" w:cs="Arial"/>
                <w:lang w:eastAsia="en-GB"/>
              </w:rPr>
            </w:pPr>
          </w:p>
          <w:p w14:paraId="077FE402" w14:textId="77777777" w:rsidR="00E125B7" w:rsidRPr="00264EEE" w:rsidRDefault="00E125B7" w:rsidP="00410F1B">
            <w:pPr>
              <w:rPr>
                <w:rFonts w:ascii="Arial" w:eastAsia="Times New Roman" w:hAnsi="Arial" w:cs="Arial"/>
                <w:lang w:eastAsia="en-GB"/>
              </w:rPr>
            </w:pPr>
          </w:p>
          <w:p w14:paraId="505AD34D" w14:textId="77777777" w:rsidR="00E125B7" w:rsidRPr="00264EEE" w:rsidRDefault="00E125B7" w:rsidP="00410F1B">
            <w:pPr>
              <w:rPr>
                <w:rFonts w:ascii="Arial" w:eastAsia="Times New Roman" w:hAnsi="Arial" w:cs="Arial"/>
                <w:lang w:eastAsia="en-GB"/>
              </w:rPr>
            </w:pPr>
          </w:p>
          <w:p w14:paraId="4769221D" w14:textId="77777777" w:rsidR="00E125B7" w:rsidRPr="00264EEE" w:rsidRDefault="00E125B7" w:rsidP="00410F1B">
            <w:pPr>
              <w:rPr>
                <w:rFonts w:ascii="Arial" w:eastAsia="Times New Roman" w:hAnsi="Arial" w:cs="Arial"/>
                <w:lang w:eastAsia="en-GB"/>
              </w:rPr>
            </w:pPr>
          </w:p>
          <w:p w14:paraId="274E9704" w14:textId="77777777" w:rsidR="00E125B7" w:rsidRPr="00264EEE" w:rsidRDefault="00E125B7" w:rsidP="00410F1B">
            <w:pPr>
              <w:rPr>
                <w:rFonts w:ascii="Arial" w:eastAsia="Times New Roman" w:hAnsi="Arial" w:cs="Arial"/>
                <w:lang w:eastAsia="en-GB"/>
              </w:rPr>
            </w:pPr>
          </w:p>
          <w:p w14:paraId="0D043E30" w14:textId="77777777" w:rsidR="00E125B7" w:rsidRPr="00264EEE" w:rsidRDefault="00E125B7" w:rsidP="00410F1B">
            <w:pPr>
              <w:rPr>
                <w:rFonts w:ascii="Arial" w:eastAsia="Times New Roman" w:hAnsi="Arial" w:cs="Arial"/>
                <w:lang w:eastAsia="en-GB"/>
              </w:rPr>
            </w:pPr>
          </w:p>
          <w:p w14:paraId="76D260B8" w14:textId="77777777" w:rsidR="00E125B7" w:rsidRPr="00264EEE" w:rsidRDefault="00E125B7" w:rsidP="00410F1B">
            <w:pPr>
              <w:rPr>
                <w:rFonts w:ascii="Arial" w:eastAsia="Times New Roman" w:hAnsi="Arial" w:cs="Arial"/>
                <w:lang w:eastAsia="en-GB"/>
              </w:rPr>
            </w:pPr>
          </w:p>
        </w:tc>
      </w:tr>
      <w:tr w:rsidR="00E125B7" w:rsidRPr="00264EEE" w14:paraId="775EF5C3" w14:textId="77777777" w:rsidTr="00410F1B">
        <w:trPr>
          <w:trHeight w:hRule="exact" w:val="1427"/>
        </w:trPr>
        <w:tc>
          <w:tcPr>
            <w:tcW w:w="188" w:type="pct"/>
            <w:tcBorders>
              <w:bottom w:val="single" w:sz="4" w:space="0" w:color="auto"/>
            </w:tcBorders>
            <w:vAlign w:val="center"/>
          </w:tcPr>
          <w:p w14:paraId="3B26FF9F" w14:textId="77777777" w:rsidR="00E125B7" w:rsidRPr="00264EEE" w:rsidRDefault="00E125B7" w:rsidP="00410F1B">
            <w:pPr>
              <w:jc w:val="both"/>
              <w:rPr>
                <w:rFonts w:ascii="Arial" w:eastAsia="Times New Roman" w:hAnsi="Arial" w:cs="Arial"/>
                <w:lang w:eastAsia="en-GB"/>
              </w:rPr>
            </w:pPr>
          </w:p>
        </w:tc>
        <w:tc>
          <w:tcPr>
            <w:tcW w:w="1863" w:type="pct"/>
            <w:tcBorders>
              <w:bottom w:val="single" w:sz="4" w:space="0" w:color="auto"/>
            </w:tcBorders>
          </w:tcPr>
          <w:p w14:paraId="62294669"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How will these outcomes directly result in benefit for the public? Please give details. This should be the main section answered.</w:t>
            </w:r>
          </w:p>
          <w:p w14:paraId="647F0734" w14:textId="77777777" w:rsidR="00E125B7" w:rsidRPr="00264EEE" w:rsidRDefault="00E125B7" w:rsidP="00410F1B">
            <w:pPr>
              <w:ind w:left="20"/>
              <w:rPr>
                <w:rFonts w:ascii="Arial" w:eastAsia="Times New Roman" w:hAnsi="Arial" w:cs="Arial"/>
                <w:lang w:eastAsia="en-GB"/>
              </w:rPr>
            </w:pPr>
          </w:p>
          <w:p w14:paraId="784446A8" w14:textId="77777777" w:rsidR="00E125B7" w:rsidRPr="00264EEE" w:rsidRDefault="00E125B7" w:rsidP="00410F1B">
            <w:pPr>
              <w:ind w:left="20"/>
              <w:rPr>
                <w:rFonts w:ascii="Arial" w:eastAsia="Times New Roman" w:hAnsi="Arial" w:cs="Arial"/>
                <w:lang w:eastAsia="en-GB"/>
              </w:rPr>
            </w:pPr>
          </w:p>
          <w:p w14:paraId="6E578307" w14:textId="77777777" w:rsidR="00E125B7" w:rsidRPr="00264EEE" w:rsidRDefault="00E125B7" w:rsidP="00410F1B">
            <w:pPr>
              <w:ind w:left="20"/>
              <w:rPr>
                <w:rFonts w:ascii="Arial" w:eastAsia="Times New Roman" w:hAnsi="Arial" w:cs="Arial"/>
                <w:lang w:eastAsia="en-GB"/>
              </w:rPr>
            </w:pPr>
          </w:p>
          <w:p w14:paraId="2E4AA83E" w14:textId="77777777" w:rsidR="00E125B7" w:rsidRPr="00264EEE" w:rsidRDefault="00E125B7" w:rsidP="00410F1B">
            <w:pPr>
              <w:ind w:left="20"/>
              <w:rPr>
                <w:rFonts w:ascii="Arial" w:eastAsia="Times New Roman" w:hAnsi="Arial" w:cs="Arial"/>
                <w:lang w:eastAsia="en-GB"/>
              </w:rPr>
            </w:pPr>
          </w:p>
          <w:p w14:paraId="01252061" w14:textId="77777777" w:rsidR="00E125B7" w:rsidRPr="00264EEE" w:rsidRDefault="00E125B7" w:rsidP="00410F1B">
            <w:pPr>
              <w:ind w:left="20"/>
              <w:rPr>
                <w:rFonts w:ascii="Arial" w:eastAsia="Times New Roman" w:hAnsi="Arial" w:cs="Arial"/>
                <w:lang w:eastAsia="en-GB"/>
              </w:rPr>
            </w:pPr>
          </w:p>
          <w:p w14:paraId="0857D227" w14:textId="77777777" w:rsidR="00E125B7" w:rsidRPr="00264EEE" w:rsidRDefault="00E125B7" w:rsidP="00410F1B">
            <w:pPr>
              <w:ind w:left="20"/>
              <w:rPr>
                <w:rFonts w:ascii="Arial" w:eastAsia="Times New Roman" w:hAnsi="Arial" w:cs="Arial"/>
                <w:lang w:eastAsia="en-GB"/>
              </w:rPr>
            </w:pPr>
          </w:p>
          <w:p w14:paraId="2C25DC64" w14:textId="77777777" w:rsidR="00E125B7" w:rsidRPr="00264EEE" w:rsidRDefault="00E125B7" w:rsidP="00410F1B">
            <w:pPr>
              <w:ind w:left="20"/>
              <w:rPr>
                <w:rFonts w:ascii="Arial" w:eastAsia="Times New Roman" w:hAnsi="Arial" w:cs="Arial"/>
                <w:lang w:eastAsia="en-GB"/>
              </w:rPr>
            </w:pPr>
          </w:p>
        </w:tc>
        <w:tc>
          <w:tcPr>
            <w:tcW w:w="2949" w:type="pct"/>
            <w:tcBorders>
              <w:bottom w:val="single" w:sz="4" w:space="0" w:color="auto"/>
            </w:tcBorders>
          </w:tcPr>
          <w:p w14:paraId="4384AC7A"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r w:rsidRPr="00264EEE">
              <w:rPr>
                <w:rFonts w:ascii="Arial" w:eastAsia="Times New Roman" w:hAnsi="Arial" w:cs="Arial"/>
                <w:sz w:val="20"/>
                <w:szCs w:val="20"/>
                <w:lang w:eastAsia="en-GB"/>
              </w:rPr>
              <w:t>Overweight and obesity is the main modifiable risk factor for developing type 2 diabetes. Scottish Government have been investing in the development of weight management services; this reporting provides initial insights into referrals to, and outcomes from, weight management interventions in Scotland.</w:t>
            </w:r>
          </w:p>
          <w:p w14:paraId="53D992BB"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p>
          <w:p w14:paraId="5CDF0053"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p>
          <w:p w14:paraId="721C5BAC"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4F5C86D"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416C9A7"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942CD28"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2C547EE"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5654B7A"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A0D753E"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15790E8"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E125B7" w:rsidRPr="00264EEE" w14:paraId="2618FEA5" w14:textId="77777777" w:rsidTr="00410F1B">
        <w:trPr>
          <w:trHeight w:hRule="exact" w:val="567"/>
        </w:trPr>
        <w:tc>
          <w:tcPr>
            <w:tcW w:w="188" w:type="pct"/>
            <w:shd w:val="clear" w:color="auto" w:fill="B8CCE4" w:themeFill="accent1" w:themeFillTint="66"/>
            <w:vAlign w:val="center"/>
          </w:tcPr>
          <w:p w14:paraId="11071FBF"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3</w:t>
            </w:r>
          </w:p>
        </w:tc>
        <w:tc>
          <w:tcPr>
            <w:tcW w:w="1863" w:type="pct"/>
            <w:shd w:val="clear" w:color="auto" w:fill="B8CCE4" w:themeFill="accent1" w:themeFillTint="66"/>
            <w:vAlign w:val="center"/>
          </w:tcPr>
          <w:p w14:paraId="5959970F" w14:textId="77777777" w:rsidR="00E125B7" w:rsidRPr="00264EEE" w:rsidRDefault="00E125B7" w:rsidP="00410F1B">
            <w:pPr>
              <w:ind w:left="20"/>
              <w:rPr>
                <w:rFonts w:ascii="Arial" w:eastAsia="Times New Roman" w:hAnsi="Arial" w:cs="Arial"/>
                <w:b/>
                <w:lang w:eastAsia="en-GB"/>
              </w:rPr>
            </w:pPr>
            <w:r w:rsidRPr="00264EEE">
              <w:rPr>
                <w:rFonts w:ascii="Arial" w:eastAsia="Times New Roman" w:hAnsi="Arial" w:cs="Arial"/>
                <w:b/>
                <w:lang w:eastAsia="en-GB"/>
              </w:rPr>
              <w:t xml:space="preserve">Data </w:t>
            </w:r>
          </w:p>
        </w:tc>
        <w:tc>
          <w:tcPr>
            <w:tcW w:w="2949" w:type="pct"/>
            <w:shd w:val="clear" w:color="auto" w:fill="B8CCE4" w:themeFill="accent1" w:themeFillTint="66"/>
            <w:vAlign w:val="center"/>
          </w:tcPr>
          <w:p w14:paraId="5D050EE3" w14:textId="77777777" w:rsidR="00E125B7" w:rsidRPr="00264EEE" w:rsidRDefault="00E125B7" w:rsidP="00410F1B">
            <w:pPr>
              <w:ind w:left="360"/>
              <w:jc w:val="both"/>
              <w:rPr>
                <w:rFonts w:ascii="Arial" w:eastAsia="Times New Roman" w:hAnsi="Arial" w:cs="Arial"/>
                <w:lang w:eastAsia="en-GB"/>
              </w:rPr>
            </w:pPr>
          </w:p>
        </w:tc>
      </w:tr>
      <w:tr w:rsidR="00E125B7" w:rsidRPr="00264EEE" w14:paraId="58037A4E" w14:textId="77777777" w:rsidTr="00410F1B">
        <w:trPr>
          <w:trHeight w:hRule="exact" w:val="1418"/>
        </w:trPr>
        <w:tc>
          <w:tcPr>
            <w:tcW w:w="188" w:type="pct"/>
            <w:tcBorders>
              <w:bottom w:val="single" w:sz="4" w:space="0" w:color="auto"/>
            </w:tcBorders>
            <w:vAlign w:val="center"/>
          </w:tcPr>
          <w:p w14:paraId="27EDD42A" w14:textId="77777777" w:rsidR="00E125B7" w:rsidRPr="00264EEE" w:rsidRDefault="00E125B7" w:rsidP="00410F1B">
            <w:pPr>
              <w:jc w:val="both"/>
              <w:rPr>
                <w:rFonts w:ascii="Arial" w:eastAsia="Times New Roman" w:hAnsi="Arial" w:cs="Arial"/>
                <w:lang w:eastAsia="en-GB"/>
              </w:rPr>
            </w:pPr>
          </w:p>
        </w:tc>
        <w:tc>
          <w:tcPr>
            <w:tcW w:w="1863" w:type="pct"/>
            <w:tcBorders>
              <w:bottom w:val="single" w:sz="4" w:space="0" w:color="auto"/>
            </w:tcBorders>
            <w:vAlign w:val="center"/>
          </w:tcPr>
          <w:p w14:paraId="69F10906"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 xml:space="preserve">What data were received/processed/collected? </w:t>
            </w:r>
          </w:p>
          <w:p w14:paraId="5EF42D1B"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58733D4C"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r w:rsidRPr="00264EEE">
              <w:rPr>
                <w:rFonts w:ascii="Arial" w:eastAsia="Times New Roman" w:hAnsi="Arial" w:cs="Arial"/>
                <w:sz w:val="20"/>
                <w:szCs w:val="20"/>
                <w:lang w:eastAsia="en-GB"/>
              </w:rPr>
              <w:t>Referrals to NHS Board commissioned weight management services (tier 2 and tier 3) for children and adults; data collected using the new standardised core dataset. The Covid-19 pandemic impacted on data provision during the second half of the reporting year.</w:t>
            </w:r>
          </w:p>
        </w:tc>
      </w:tr>
      <w:tr w:rsidR="00E125B7" w:rsidRPr="00264EEE" w14:paraId="05B2285F" w14:textId="77777777" w:rsidTr="00410F1B">
        <w:trPr>
          <w:trHeight w:hRule="exact" w:val="567"/>
        </w:trPr>
        <w:tc>
          <w:tcPr>
            <w:tcW w:w="188" w:type="pct"/>
            <w:shd w:val="clear" w:color="auto" w:fill="B8CCE4" w:themeFill="accent1" w:themeFillTint="66"/>
            <w:vAlign w:val="center"/>
          </w:tcPr>
          <w:p w14:paraId="1877D92E"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4</w:t>
            </w:r>
          </w:p>
        </w:tc>
        <w:tc>
          <w:tcPr>
            <w:tcW w:w="1863" w:type="pct"/>
            <w:shd w:val="clear" w:color="auto" w:fill="B8CCE4" w:themeFill="accent1" w:themeFillTint="66"/>
            <w:vAlign w:val="center"/>
          </w:tcPr>
          <w:p w14:paraId="48D38131"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75101994" w14:textId="77777777" w:rsidR="00E125B7" w:rsidRPr="00264EEE" w:rsidRDefault="00E125B7" w:rsidP="00410F1B">
            <w:pPr>
              <w:ind w:left="360"/>
              <w:jc w:val="both"/>
              <w:rPr>
                <w:rFonts w:ascii="Arial" w:eastAsia="Times New Roman" w:hAnsi="Arial" w:cs="Arial"/>
                <w:lang w:eastAsia="en-GB"/>
              </w:rPr>
            </w:pPr>
          </w:p>
        </w:tc>
      </w:tr>
      <w:tr w:rsidR="00E125B7" w:rsidRPr="00264EEE" w14:paraId="69C41B2C" w14:textId="77777777" w:rsidTr="00410F1B">
        <w:trPr>
          <w:trHeight w:val="278"/>
        </w:trPr>
        <w:tc>
          <w:tcPr>
            <w:tcW w:w="188" w:type="pct"/>
            <w:vMerge w:val="restart"/>
            <w:vAlign w:val="center"/>
          </w:tcPr>
          <w:p w14:paraId="1EC383AE"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4D9F6268"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How did you collect the data?</w:t>
            </w:r>
          </w:p>
        </w:tc>
        <w:tc>
          <w:tcPr>
            <w:tcW w:w="2949" w:type="pct"/>
            <w:vAlign w:val="center"/>
          </w:tcPr>
          <w:p w14:paraId="768F1275"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sz w:val="20"/>
                <w:szCs w:val="20"/>
                <w:lang w:eastAsia="en-GB"/>
              </w:rPr>
            </w:pPr>
            <w:r w:rsidRPr="00264EEE">
              <w:rPr>
                <w:rFonts w:ascii="Arial" w:eastAsia="Times New Roman" w:hAnsi="Arial" w:cs="Arial"/>
                <w:sz w:val="20"/>
                <w:szCs w:val="20"/>
                <w:lang w:eastAsia="en-GB"/>
              </w:rPr>
              <w:t>One-off data submission from each NHS Board in Scotland (on behalf of their weight management services) to PHS, via secure file transfer.</w:t>
            </w:r>
          </w:p>
        </w:tc>
      </w:tr>
      <w:tr w:rsidR="00E125B7" w:rsidRPr="00264EEE" w14:paraId="66C7BAFF" w14:textId="77777777" w:rsidTr="00410F1B">
        <w:trPr>
          <w:trHeight w:hRule="exact" w:val="419"/>
        </w:trPr>
        <w:tc>
          <w:tcPr>
            <w:tcW w:w="188" w:type="pct"/>
            <w:vMerge/>
            <w:vAlign w:val="center"/>
          </w:tcPr>
          <w:p w14:paraId="23534CD0"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4DB69BA2"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 xml:space="preserve">How did you process the data? </w:t>
            </w:r>
          </w:p>
          <w:p w14:paraId="717D680C" w14:textId="77777777" w:rsidR="00E125B7" w:rsidRPr="00264EEE" w:rsidRDefault="00E125B7" w:rsidP="00410F1B">
            <w:pPr>
              <w:ind w:left="20"/>
              <w:rPr>
                <w:rFonts w:ascii="Arial" w:eastAsia="Times New Roman" w:hAnsi="Arial" w:cs="Arial"/>
                <w:lang w:eastAsia="en-GB"/>
              </w:rPr>
            </w:pPr>
          </w:p>
        </w:tc>
        <w:tc>
          <w:tcPr>
            <w:tcW w:w="2949" w:type="pct"/>
            <w:vAlign w:val="center"/>
          </w:tcPr>
          <w:p w14:paraId="730D7829" w14:textId="77777777" w:rsidR="00E125B7" w:rsidRPr="00264EEE" w:rsidRDefault="00E125B7" w:rsidP="00410F1B">
            <w:pPr>
              <w:ind w:left="20"/>
              <w:rPr>
                <w:rFonts w:ascii="Arial" w:eastAsia="Times New Roman" w:hAnsi="Arial" w:cs="Arial"/>
                <w:sz w:val="20"/>
                <w:szCs w:val="20"/>
                <w:lang w:eastAsia="en-GB"/>
              </w:rPr>
            </w:pPr>
            <w:r w:rsidRPr="00264EEE">
              <w:rPr>
                <w:rFonts w:ascii="Arial" w:eastAsia="Times New Roman" w:hAnsi="Arial" w:cs="Arial"/>
                <w:sz w:val="20"/>
                <w:szCs w:val="20"/>
                <w:lang w:eastAsia="en-GB"/>
              </w:rPr>
              <w:t>As stated in PBPP application</w:t>
            </w:r>
          </w:p>
        </w:tc>
      </w:tr>
      <w:tr w:rsidR="00E125B7" w:rsidRPr="00264EEE" w14:paraId="37CF80FB" w14:textId="77777777" w:rsidTr="00410F1B">
        <w:trPr>
          <w:trHeight w:hRule="exact" w:val="567"/>
        </w:trPr>
        <w:tc>
          <w:tcPr>
            <w:tcW w:w="188" w:type="pct"/>
            <w:vMerge/>
            <w:vAlign w:val="center"/>
          </w:tcPr>
          <w:p w14:paraId="175DBD74"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0239C570"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How did you provision/publish the information?</w:t>
            </w:r>
          </w:p>
        </w:tc>
        <w:tc>
          <w:tcPr>
            <w:tcW w:w="2949" w:type="pct"/>
            <w:vAlign w:val="center"/>
          </w:tcPr>
          <w:p w14:paraId="7D58194C"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szCs w:val="20"/>
                <w:lang w:eastAsia="en-GB"/>
              </w:rPr>
            </w:pPr>
            <w:r w:rsidRPr="00264EEE">
              <w:rPr>
                <w:rFonts w:ascii="Arial" w:eastAsia="Times New Roman" w:hAnsi="Arial" w:cs="Arial"/>
                <w:sz w:val="20"/>
                <w:szCs w:val="20"/>
                <w:lang w:eastAsia="en-GB"/>
              </w:rPr>
              <w:t>As stated in PBPP application</w:t>
            </w:r>
          </w:p>
        </w:tc>
      </w:tr>
      <w:tr w:rsidR="00E125B7" w:rsidRPr="00264EEE" w14:paraId="1F9807F8" w14:textId="77777777" w:rsidTr="00410F1B">
        <w:trPr>
          <w:trHeight w:hRule="exact" w:val="888"/>
        </w:trPr>
        <w:tc>
          <w:tcPr>
            <w:tcW w:w="188" w:type="pct"/>
            <w:vMerge/>
            <w:vAlign w:val="center"/>
          </w:tcPr>
          <w:p w14:paraId="2E93FE38"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7E8C666F"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Did your study scope change from its original aims? Please give brief details.</w:t>
            </w:r>
          </w:p>
          <w:p w14:paraId="6B42A416" w14:textId="77777777" w:rsidR="00E125B7" w:rsidRPr="00264EEE" w:rsidRDefault="00E125B7" w:rsidP="00410F1B">
            <w:pPr>
              <w:ind w:left="20"/>
              <w:rPr>
                <w:rFonts w:ascii="Arial" w:eastAsia="Times New Roman" w:hAnsi="Arial" w:cs="Arial"/>
                <w:lang w:eastAsia="en-GB"/>
              </w:rPr>
            </w:pPr>
          </w:p>
        </w:tc>
        <w:tc>
          <w:tcPr>
            <w:tcW w:w="2949" w:type="pct"/>
            <w:vAlign w:val="center"/>
          </w:tcPr>
          <w:p w14:paraId="769DD241" w14:textId="77777777" w:rsidR="00E125B7" w:rsidRPr="00264EEE" w:rsidRDefault="00E125B7" w:rsidP="00410F1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20"/>
                <w:szCs w:val="20"/>
                <w:lang w:eastAsia="en-GB"/>
              </w:rPr>
            </w:pPr>
            <w:r w:rsidRPr="00264EEE">
              <w:rPr>
                <w:rFonts w:ascii="Arial" w:eastAsia="Times New Roman" w:hAnsi="Arial" w:cs="Arial"/>
                <w:sz w:val="20"/>
                <w:szCs w:val="20"/>
                <w:lang w:eastAsia="en-GB"/>
              </w:rPr>
              <w:t>No</w:t>
            </w:r>
          </w:p>
        </w:tc>
      </w:tr>
      <w:tr w:rsidR="00E125B7" w:rsidRPr="00264EEE" w14:paraId="21C5C645" w14:textId="77777777" w:rsidTr="00410F1B">
        <w:trPr>
          <w:trHeight w:hRule="exact" w:val="567"/>
        </w:trPr>
        <w:tc>
          <w:tcPr>
            <w:tcW w:w="188" w:type="pct"/>
            <w:shd w:val="clear" w:color="auto" w:fill="B8CCE4" w:themeFill="accent1" w:themeFillTint="66"/>
            <w:vAlign w:val="center"/>
          </w:tcPr>
          <w:p w14:paraId="26766E6A"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5</w:t>
            </w:r>
          </w:p>
        </w:tc>
        <w:tc>
          <w:tcPr>
            <w:tcW w:w="1863" w:type="pct"/>
            <w:shd w:val="clear" w:color="auto" w:fill="B8CCE4" w:themeFill="accent1" w:themeFillTint="66"/>
            <w:vAlign w:val="center"/>
          </w:tcPr>
          <w:p w14:paraId="2876B0A0"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6C62B4FA" w14:textId="77777777" w:rsidR="00E125B7" w:rsidRPr="00264EEE" w:rsidRDefault="00E125B7" w:rsidP="00410F1B">
            <w:pPr>
              <w:ind w:left="360"/>
              <w:jc w:val="both"/>
              <w:rPr>
                <w:rFonts w:ascii="Arial" w:eastAsia="Times New Roman" w:hAnsi="Arial" w:cs="Arial"/>
                <w:lang w:eastAsia="en-GB"/>
              </w:rPr>
            </w:pPr>
          </w:p>
        </w:tc>
      </w:tr>
      <w:tr w:rsidR="00E125B7" w:rsidRPr="00264EEE" w14:paraId="1C4B1FCB" w14:textId="77777777" w:rsidTr="00410F1B">
        <w:trPr>
          <w:trHeight w:val="1060"/>
        </w:trPr>
        <w:tc>
          <w:tcPr>
            <w:tcW w:w="188" w:type="pct"/>
            <w:tcBorders>
              <w:bottom w:val="single" w:sz="4" w:space="0" w:color="auto"/>
            </w:tcBorders>
            <w:vAlign w:val="center"/>
          </w:tcPr>
          <w:p w14:paraId="3B540AD3" w14:textId="77777777" w:rsidR="00E125B7" w:rsidRPr="00264EEE" w:rsidRDefault="00E125B7" w:rsidP="00410F1B">
            <w:pPr>
              <w:rPr>
                <w:rFonts w:ascii="Arial" w:eastAsia="Times New Roman" w:hAnsi="Arial" w:cs="Arial"/>
                <w:lang w:eastAsia="en-GB"/>
              </w:rPr>
            </w:pPr>
          </w:p>
        </w:tc>
        <w:tc>
          <w:tcPr>
            <w:tcW w:w="1863" w:type="pct"/>
            <w:tcBorders>
              <w:bottom w:val="single" w:sz="4" w:space="0" w:color="auto"/>
            </w:tcBorders>
            <w:vAlign w:val="center"/>
          </w:tcPr>
          <w:p w14:paraId="22301E9D"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2B133E55" w14:textId="77777777" w:rsidR="00E125B7" w:rsidRPr="00264EEE" w:rsidRDefault="00E125B7" w:rsidP="00410F1B">
            <w:pPr>
              <w:tabs>
                <w:tab w:val="left" w:pos="720"/>
                <w:tab w:val="left" w:pos="1440"/>
                <w:tab w:val="left" w:pos="2160"/>
                <w:tab w:val="left" w:pos="2880"/>
                <w:tab w:val="left" w:pos="4680"/>
                <w:tab w:val="left" w:pos="5400"/>
                <w:tab w:val="right" w:pos="9000"/>
              </w:tabs>
              <w:jc w:val="both"/>
              <w:rPr>
                <w:rFonts w:ascii="Arial" w:eastAsia="Times New Roman" w:hAnsi="Arial" w:cs="Arial"/>
                <w:sz w:val="20"/>
                <w:szCs w:val="20"/>
                <w:lang w:eastAsia="en-GB"/>
              </w:rPr>
            </w:pPr>
            <w:r w:rsidRPr="00264EEE">
              <w:rPr>
                <w:rFonts w:ascii="Arial" w:eastAsia="Times New Roman" w:hAnsi="Arial" w:cs="Arial"/>
                <w:sz w:val="20"/>
                <w:szCs w:val="20"/>
                <w:lang w:eastAsia="en-GB"/>
              </w:rPr>
              <w:t xml:space="preserve">Published results present information on </w:t>
            </w:r>
            <w:r w:rsidRPr="00264EEE">
              <w:rPr>
                <w:rFonts w:ascii="Arial" w:eastAsia="Times New Roman" w:hAnsi="Arial" w:cs="Arial"/>
                <w:color w:val="333333"/>
                <w:sz w:val="20"/>
                <w:szCs w:val="20"/>
                <w:shd w:val="clear" w:color="auto" w:fill="FFFFFF"/>
              </w:rPr>
              <w:t xml:space="preserve">referrals to, and intervention pathways for, weight management services in NHS boards. referrals to and intervention pathways. This includes: the characteristics of individuals referred. Significant data quality and completeness issues identified; and impact of Covid-19. </w:t>
            </w:r>
          </w:p>
        </w:tc>
      </w:tr>
      <w:tr w:rsidR="00E125B7" w:rsidRPr="00264EEE" w14:paraId="34F7470C" w14:textId="77777777" w:rsidTr="00410F1B">
        <w:trPr>
          <w:trHeight w:hRule="exact" w:val="567"/>
        </w:trPr>
        <w:tc>
          <w:tcPr>
            <w:tcW w:w="188" w:type="pct"/>
            <w:shd w:val="clear" w:color="auto" w:fill="B8CCE4" w:themeFill="accent1" w:themeFillTint="66"/>
            <w:vAlign w:val="center"/>
          </w:tcPr>
          <w:p w14:paraId="090F6B38" w14:textId="77777777" w:rsidR="00E125B7" w:rsidRPr="00264EEE" w:rsidRDefault="00E125B7" w:rsidP="00410F1B">
            <w:pPr>
              <w:jc w:val="both"/>
              <w:rPr>
                <w:rFonts w:ascii="Arial" w:eastAsia="Times New Roman" w:hAnsi="Arial" w:cs="Arial"/>
                <w:lang w:eastAsia="en-GB"/>
              </w:rPr>
            </w:pPr>
            <w:r w:rsidRPr="00264EEE">
              <w:rPr>
                <w:rFonts w:ascii="Arial" w:eastAsia="Times New Roman" w:hAnsi="Arial" w:cs="Arial"/>
                <w:lang w:eastAsia="en-GB"/>
              </w:rPr>
              <w:t>6</w:t>
            </w:r>
          </w:p>
        </w:tc>
        <w:tc>
          <w:tcPr>
            <w:tcW w:w="1863" w:type="pct"/>
            <w:shd w:val="clear" w:color="auto" w:fill="B8CCE4" w:themeFill="accent1" w:themeFillTint="66"/>
            <w:vAlign w:val="center"/>
          </w:tcPr>
          <w:p w14:paraId="2F90E6DC" w14:textId="77777777" w:rsidR="00E125B7" w:rsidRPr="00264EEE" w:rsidRDefault="00E125B7" w:rsidP="00410F1B">
            <w:pPr>
              <w:ind w:left="20"/>
              <w:jc w:val="both"/>
              <w:rPr>
                <w:rFonts w:ascii="Arial" w:eastAsia="Times New Roman" w:hAnsi="Arial" w:cs="Arial"/>
                <w:b/>
                <w:lang w:eastAsia="en-GB"/>
              </w:rPr>
            </w:pPr>
            <w:r w:rsidRPr="00264EEE">
              <w:rPr>
                <w:rFonts w:ascii="Arial" w:eastAsia="Times New Roman" w:hAnsi="Arial" w:cs="Arial"/>
                <w:b/>
                <w:lang w:eastAsia="en-GB"/>
              </w:rPr>
              <w:t>Future Questions:</w:t>
            </w:r>
          </w:p>
        </w:tc>
        <w:tc>
          <w:tcPr>
            <w:tcW w:w="2949" w:type="pct"/>
            <w:shd w:val="clear" w:color="auto" w:fill="B8CCE4" w:themeFill="accent1" w:themeFillTint="66"/>
            <w:vAlign w:val="center"/>
          </w:tcPr>
          <w:p w14:paraId="64F56381" w14:textId="77777777" w:rsidR="00E125B7" w:rsidRPr="00264EEE" w:rsidRDefault="00E125B7" w:rsidP="00410F1B">
            <w:pPr>
              <w:ind w:left="360"/>
              <w:jc w:val="both"/>
              <w:rPr>
                <w:rFonts w:ascii="Arial" w:eastAsia="Times New Roman" w:hAnsi="Arial" w:cs="Arial"/>
                <w:lang w:eastAsia="en-GB"/>
              </w:rPr>
            </w:pPr>
          </w:p>
        </w:tc>
      </w:tr>
      <w:tr w:rsidR="00E125B7" w:rsidRPr="00264EEE" w14:paraId="445BE1DB" w14:textId="77777777" w:rsidTr="00410F1B">
        <w:trPr>
          <w:trHeight w:val="1342"/>
        </w:trPr>
        <w:tc>
          <w:tcPr>
            <w:tcW w:w="188" w:type="pct"/>
            <w:vAlign w:val="center"/>
          </w:tcPr>
          <w:p w14:paraId="0D6D6284" w14:textId="77777777" w:rsidR="00E125B7" w:rsidRPr="00264EEE" w:rsidRDefault="00E125B7" w:rsidP="00410F1B">
            <w:pPr>
              <w:jc w:val="both"/>
              <w:rPr>
                <w:rFonts w:ascii="Arial" w:eastAsia="Times New Roman" w:hAnsi="Arial" w:cs="Arial"/>
                <w:lang w:eastAsia="en-GB"/>
              </w:rPr>
            </w:pPr>
          </w:p>
        </w:tc>
        <w:tc>
          <w:tcPr>
            <w:tcW w:w="1863" w:type="pct"/>
            <w:vAlign w:val="center"/>
          </w:tcPr>
          <w:p w14:paraId="38691C8C" w14:textId="77777777" w:rsidR="00E125B7" w:rsidRPr="00264EEE" w:rsidRDefault="00E125B7" w:rsidP="00410F1B">
            <w:pPr>
              <w:ind w:left="20"/>
              <w:rPr>
                <w:rFonts w:ascii="Arial" w:eastAsia="Times New Roman" w:hAnsi="Arial" w:cs="Arial"/>
                <w:lang w:eastAsia="en-GB"/>
              </w:rPr>
            </w:pPr>
            <w:r w:rsidRPr="00264EEE">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33790259" w14:textId="77777777" w:rsidR="00E125B7" w:rsidRPr="00264EEE" w:rsidRDefault="00E125B7" w:rsidP="00410F1B">
            <w:pPr>
              <w:tabs>
                <w:tab w:val="left" w:pos="720"/>
                <w:tab w:val="left" w:pos="1440"/>
                <w:tab w:val="left" w:pos="2160"/>
                <w:tab w:val="left" w:pos="2880"/>
                <w:tab w:val="left" w:pos="4680"/>
                <w:tab w:val="left" w:pos="5400"/>
                <w:tab w:val="right" w:pos="9000"/>
              </w:tabs>
              <w:rPr>
                <w:rFonts w:ascii="Arial" w:eastAsia="Times New Roman" w:hAnsi="Arial" w:cs="Arial"/>
                <w:lang w:eastAsia="en-GB"/>
              </w:rPr>
            </w:pPr>
            <w:r w:rsidRPr="00264EEE">
              <w:rPr>
                <w:rFonts w:ascii="Arial" w:eastAsia="Times New Roman" w:hAnsi="Arial" w:cs="Arial"/>
                <w:lang w:eastAsia="en-GB"/>
              </w:rPr>
              <w:t>This initial reporting has provided helpful insights for a future review of the core dataset and associated data collection mechanisms.</w:t>
            </w:r>
          </w:p>
        </w:tc>
      </w:tr>
    </w:tbl>
    <w:p w14:paraId="13F45A04" w14:textId="77777777" w:rsidR="00E125B7" w:rsidRPr="00264EEE" w:rsidRDefault="00E125B7" w:rsidP="00E125B7">
      <w:pPr>
        <w:spacing w:after="0" w:line="240" w:lineRule="auto"/>
        <w:ind w:left="-851"/>
        <w:jc w:val="both"/>
        <w:rPr>
          <w:rFonts w:ascii="Arial" w:eastAsia="Times New Roman" w:hAnsi="Arial" w:cs="Arial"/>
          <w:lang w:eastAsia="en-GB"/>
        </w:rPr>
      </w:pPr>
    </w:p>
    <w:p w14:paraId="2E5C60AC" w14:textId="7F0E2D6B" w:rsidR="00E028FE" w:rsidRPr="00E028FE" w:rsidRDefault="00E028FE" w:rsidP="00B33D1D">
      <w:pPr>
        <w:pStyle w:val="Heading1"/>
        <w:rPr>
          <w:rFonts w:eastAsia="Times New Roman"/>
        </w:rPr>
      </w:pPr>
      <w:bookmarkStart w:id="35" w:name="_1920-0099_Liam_Joseph"/>
      <w:bookmarkEnd w:id="35"/>
      <w:r w:rsidRPr="00E028FE">
        <w:rPr>
          <w:rFonts w:eastAsia="Times New Roman"/>
        </w:rPr>
        <w:t>1920-0099</w:t>
      </w:r>
      <w:r w:rsidRPr="00E028FE">
        <w:rPr>
          <w:rFonts w:eastAsia="Times New Roman"/>
        </w:rPr>
        <w:tab/>
        <w:t>Liam Joseph Mullen</w:t>
      </w:r>
    </w:p>
    <w:p w14:paraId="3936DD4E" w14:textId="53693A7F" w:rsidR="00E028FE" w:rsidRPr="00B33D1D" w:rsidRDefault="00B33D1D" w:rsidP="00B33D1D">
      <w:pPr>
        <w:rPr>
          <w:rFonts w:eastAsia="Times New Roman" w:cstheme="minorHAnsi"/>
          <w:b/>
          <w:bCs/>
          <w:sz w:val="24"/>
          <w:szCs w:val="24"/>
        </w:rPr>
      </w:pPr>
      <w:r w:rsidRPr="00B33D1D">
        <w:rPr>
          <w:rFonts w:eastAsia="Times New Roman" w:cstheme="minorHAnsi"/>
          <w:b/>
          <w:bCs/>
          <w:sz w:val="24"/>
          <w:szCs w:val="24"/>
        </w:rPr>
        <w:t>RIPCORD 2</w:t>
      </w:r>
    </w:p>
    <w:p w14:paraId="1AFFB135" w14:textId="08D4C65E" w:rsidR="00120BC9" w:rsidRDefault="00E028FE" w:rsidP="00E028FE">
      <w:pPr>
        <w:rPr>
          <w:rFonts w:eastAsia="Times New Roman" w:cstheme="minorHAnsi"/>
          <w:b/>
          <w:bCs/>
          <w:sz w:val="24"/>
          <w:szCs w:val="24"/>
        </w:rPr>
      </w:pPr>
      <w:r w:rsidRPr="00E028FE">
        <w:rPr>
          <w:rFonts w:eastAsia="Times New Roman" w:cstheme="minorHAnsi"/>
          <w:b/>
          <w:bCs/>
          <w:sz w:val="24"/>
          <w:szCs w:val="24"/>
        </w:rPr>
        <w:t>End of Project Report</w:t>
      </w:r>
    </w:p>
    <w:tbl>
      <w:tblPr>
        <w:tblStyle w:val="TableGrid"/>
        <w:tblW w:w="5000" w:type="pct"/>
        <w:tblLook w:val="04A0" w:firstRow="1" w:lastRow="0" w:firstColumn="1" w:lastColumn="0" w:noHBand="0" w:noVBand="1"/>
      </w:tblPr>
      <w:tblGrid>
        <w:gridCol w:w="339"/>
        <w:gridCol w:w="3359"/>
        <w:gridCol w:w="5318"/>
      </w:tblGrid>
      <w:tr w:rsidR="00C854C5" w14:paraId="4B828AE6"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93861" w14:textId="77777777" w:rsidR="00C854C5" w:rsidRDefault="00C854C5">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14AC78" w14:textId="77777777" w:rsidR="00C854C5" w:rsidRDefault="00C854C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293928" w14:textId="77777777" w:rsidR="00C854C5" w:rsidRDefault="00C854C5">
            <w:pPr>
              <w:spacing w:after="200" w:line="276" w:lineRule="auto"/>
              <w:ind w:left="360"/>
              <w:rPr>
                <w:lang w:eastAsia="en-GB"/>
              </w:rPr>
            </w:pPr>
          </w:p>
        </w:tc>
      </w:tr>
      <w:tr w:rsidR="00C854C5" w14:paraId="356F2F15" w14:textId="77777777" w:rsidTr="00C854C5">
        <w:trPr>
          <w:trHeight w:hRule="exact" w:val="1720"/>
        </w:trPr>
        <w:tc>
          <w:tcPr>
            <w:tcW w:w="188" w:type="pct"/>
            <w:tcBorders>
              <w:top w:val="single" w:sz="4" w:space="0" w:color="auto"/>
              <w:left w:val="single" w:sz="4" w:space="0" w:color="auto"/>
              <w:bottom w:val="single" w:sz="4" w:space="0" w:color="auto"/>
              <w:right w:val="single" w:sz="4" w:space="0" w:color="auto"/>
            </w:tcBorders>
            <w:vAlign w:val="center"/>
          </w:tcPr>
          <w:p w14:paraId="6A176B73"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820913" w14:textId="77777777" w:rsidR="00C854C5" w:rsidRDefault="00C854C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AA2DFC3" w14:textId="77777777" w:rsidR="00C854C5" w:rsidRDefault="00C854C5">
            <w:pPr>
              <w:spacing w:line="360" w:lineRule="auto"/>
              <w:rPr>
                <w:sz w:val="16"/>
                <w:szCs w:val="16"/>
                <w:lang w:eastAsia="en-GB"/>
              </w:rPr>
            </w:pPr>
            <w:r>
              <w:rPr>
                <w:sz w:val="16"/>
                <w:szCs w:val="16"/>
              </w:rPr>
              <w:t>To compare two strategies for the management of patients undergoing angiography for the investigation of coronary artery disease. The study aimed to determine if the routine use of pressure wire assessment in this context is superior to conventional angiography; both in terms of improved clinical outcomes for patients and in terms of a reduction in overall incurred healthcare costs</w:t>
            </w:r>
          </w:p>
        </w:tc>
      </w:tr>
      <w:tr w:rsidR="00C854C5" w14:paraId="0AB8E7EB"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6DFA0C" w14:textId="77777777" w:rsidR="00C854C5" w:rsidRDefault="00C854C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1E416C" w14:textId="77777777" w:rsidR="00C854C5" w:rsidRDefault="00C854C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C0CCBD" w14:textId="77777777" w:rsidR="00C854C5" w:rsidRDefault="00C854C5">
            <w:pPr>
              <w:spacing w:after="200" w:line="276" w:lineRule="auto"/>
              <w:ind w:left="360"/>
              <w:rPr>
                <w:lang w:eastAsia="en-GB"/>
              </w:rPr>
            </w:pPr>
          </w:p>
          <w:p w14:paraId="157B35D8" w14:textId="77777777" w:rsidR="00C854C5" w:rsidRDefault="00C854C5">
            <w:pPr>
              <w:spacing w:after="200" w:line="276" w:lineRule="auto"/>
              <w:rPr>
                <w:lang w:eastAsia="en-GB"/>
              </w:rPr>
            </w:pPr>
          </w:p>
          <w:p w14:paraId="32CD6860" w14:textId="77777777" w:rsidR="00C854C5" w:rsidRDefault="00C854C5">
            <w:pPr>
              <w:spacing w:after="200" w:line="276" w:lineRule="auto"/>
              <w:rPr>
                <w:lang w:eastAsia="en-GB"/>
              </w:rPr>
            </w:pPr>
          </w:p>
          <w:p w14:paraId="0D29FA9A" w14:textId="77777777" w:rsidR="00C854C5" w:rsidRDefault="00C854C5">
            <w:pPr>
              <w:spacing w:after="200" w:line="276" w:lineRule="auto"/>
              <w:rPr>
                <w:lang w:eastAsia="en-GB"/>
              </w:rPr>
            </w:pPr>
          </w:p>
          <w:p w14:paraId="1E7FA39D" w14:textId="77777777" w:rsidR="00C854C5" w:rsidRDefault="00C854C5">
            <w:pPr>
              <w:spacing w:after="200" w:line="276" w:lineRule="auto"/>
              <w:rPr>
                <w:lang w:eastAsia="en-GB"/>
              </w:rPr>
            </w:pPr>
          </w:p>
          <w:p w14:paraId="21B48452" w14:textId="77777777" w:rsidR="00C854C5" w:rsidRDefault="00C854C5">
            <w:pPr>
              <w:spacing w:after="200" w:line="276" w:lineRule="auto"/>
              <w:rPr>
                <w:lang w:eastAsia="en-GB"/>
              </w:rPr>
            </w:pPr>
          </w:p>
          <w:p w14:paraId="2544FFCE" w14:textId="77777777" w:rsidR="00C854C5" w:rsidRDefault="00C854C5">
            <w:pPr>
              <w:spacing w:after="200" w:line="276" w:lineRule="auto"/>
              <w:rPr>
                <w:lang w:eastAsia="en-GB"/>
              </w:rPr>
            </w:pPr>
          </w:p>
          <w:p w14:paraId="63163649" w14:textId="77777777" w:rsidR="00C854C5" w:rsidRDefault="00C854C5">
            <w:pPr>
              <w:spacing w:after="200" w:line="276" w:lineRule="auto"/>
              <w:rPr>
                <w:lang w:eastAsia="en-GB"/>
              </w:rPr>
            </w:pPr>
          </w:p>
          <w:p w14:paraId="662D6E0D" w14:textId="77777777" w:rsidR="00C854C5" w:rsidRDefault="00C854C5">
            <w:pPr>
              <w:spacing w:after="200" w:line="276" w:lineRule="auto"/>
              <w:rPr>
                <w:lang w:eastAsia="en-GB"/>
              </w:rPr>
            </w:pPr>
          </w:p>
          <w:p w14:paraId="77E3D943" w14:textId="77777777" w:rsidR="00C854C5" w:rsidRDefault="00C854C5">
            <w:pPr>
              <w:spacing w:after="200" w:line="276" w:lineRule="auto"/>
              <w:rPr>
                <w:lang w:eastAsia="en-GB"/>
              </w:rPr>
            </w:pPr>
          </w:p>
          <w:p w14:paraId="7B12D8CC" w14:textId="77777777" w:rsidR="00C854C5" w:rsidRDefault="00C854C5">
            <w:pPr>
              <w:spacing w:after="200" w:line="276" w:lineRule="auto"/>
              <w:rPr>
                <w:lang w:eastAsia="en-GB"/>
              </w:rPr>
            </w:pPr>
          </w:p>
          <w:p w14:paraId="1D13F4E2" w14:textId="77777777" w:rsidR="00C854C5" w:rsidRDefault="00C854C5">
            <w:pPr>
              <w:spacing w:after="200" w:line="276" w:lineRule="auto"/>
              <w:rPr>
                <w:lang w:eastAsia="en-GB"/>
              </w:rPr>
            </w:pPr>
          </w:p>
          <w:p w14:paraId="21A655CC" w14:textId="77777777" w:rsidR="00C854C5" w:rsidRDefault="00C854C5">
            <w:pPr>
              <w:spacing w:after="200" w:line="276" w:lineRule="auto"/>
              <w:rPr>
                <w:lang w:eastAsia="en-GB"/>
              </w:rPr>
            </w:pPr>
          </w:p>
          <w:p w14:paraId="053648D5" w14:textId="77777777" w:rsidR="00C854C5" w:rsidRDefault="00C854C5">
            <w:pPr>
              <w:spacing w:after="200" w:line="276" w:lineRule="auto"/>
              <w:rPr>
                <w:lang w:eastAsia="en-GB"/>
              </w:rPr>
            </w:pPr>
          </w:p>
          <w:p w14:paraId="0E94BF11" w14:textId="77777777" w:rsidR="00C854C5" w:rsidRDefault="00C854C5">
            <w:pPr>
              <w:spacing w:after="200" w:line="276" w:lineRule="auto"/>
              <w:rPr>
                <w:lang w:eastAsia="en-GB"/>
              </w:rPr>
            </w:pPr>
          </w:p>
          <w:p w14:paraId="7B729EAD" w14:textId="77777777" w:rsidR="00C854C5" w:rsidRDefault="00C854C5">
            <w:pPr>
              <w:spacing w:after="200" w:line="276" w:lineRule="auto"/>
              <w:rPr>
                <w:lang w:eastAsia="en-GB"/>
              </w:rPr>
            </w:pPr>
          </w:p>
          <w:p w14:paraId="773E5931" w14:textId="77777777" w:rsidR="00C854C5" w:rsidRDefault="00C854C5">
            <w:pPr>
              <w:spacing w:after="200" w:line="276" w:lineRule="auto"/>
              <w:rPr>
                <w:lang w:eastAsia="en-GB"/>
              </w:rPr>
            </w:pPr>
          </w:p>
          <w:p w14:paraId="2DF0A0DE" w14:textId="77777777" w:rsidR="00C854C5" w:rsidRDefault="00C854C5">
            <w:pPr>
              <w:spacing w:after="200" w:line="276" w:lineRule="auto"/>
              <w:rPr>
                <w:lang w:eastAsia="en-GB"/>
              </w:rPr>
            </w:pPr>
          </w:p>
          <w:p w14:paraId="03582611" w14:textId="77777777" w:rsidR="00C854C5" w:rsidRDefault="00C854C5">
            <w:pPr>
              <w:spacing w:after="200" w:line="276" w:lineRule="auto"/>
              <w:rPr>
                <w:lang w:eastAsia="en-GB"/>
              </w:rPr>
            </w:pPr>
          </w:p>
          <w:p w14:paraId="67B8FD3D" w14:textId="77777777" w:rsidR="00C854C5" w:rsidRDefault="00C854C5">
            <w:pPr>
              <w:spacing w:after="200" w:line="276" w:lineRule="auto"/>
              <w:rPr>
                <w:lang w:eastAsia="en-GB"/>
              </w:rPr>
            </w:pPr>
          </w:p>
          <w:p w14:paraId="3ED80DAA" w14:textId="77777777" w:rsidR="00C854C5" w:rsidRDefault="00C854C5">
            <w:pPr>
              <w:spacing w:after="200" w:line="276" w:lineRule="auto"/>
              <w:rPr>
                <w:lang w:eastAsia="en-GB"/>
              </w:rPr>
            </w:pPr>
          </w:p>
          <w:p w14:paraId="0190F9F2" w14:textId="77777777" w:rsidR="00C854C5" w:rsidRDefault="00C854C5">
            <w:pPr>
              <w:spacing w:after="200" w:line="276" w:lineRule="auto"/>
              <w:rPr>
                <w:lang w:eastAsia="en-GB"/>
              </w:rPr>
            </w:pPr>
          </w:p>
          <w:p w14:paraId="31D15B75" w14:textId="77777777" w:rsidR="00C854C5" w:rsidRDefault="00C854C5">
            <w:pPr>
              <w:spacing w:after="200" w:line="276" w:lineRule="auto"/>
              <w:rPr>
                <w:lang w:eastAsia="en-GB"/>
              </w:rPr>
            </w:pPr>
          </w:p>
          <w:p w14:paraId="47AE673B" w14:textId="77777777" w:rsidR="00C854C5" w:rsidRDefault="00C854C5">
            <w:pPr>
              <w:spacing w:after="200" w:line="276" w:lineRule="auto"/>
              <w:rPr>
                <w:lang w:eastAsia="en-GB"/>
              </w:rPr>
            </w:pPr>
          </w:p>
          <w:p w14:paraId="08BB0B9B" w14:textId="77777777" w:rsidR="00C854C5" w:rsidRDefault="00C854C5">
            <w:pPr>
              <w:spacing w:after="200" w:line="276" w:lineRule="auto"/>
              <w:rPr>
                <w:lang w:eastAsia="en-GB"/>
              </w:rPr>
            </w:pPr>
          </w:p>
        </w:tc>
      </w:tr>
      <w:tr w:rsidR="00C854C5" w14:paraId="22472728" w14:textId="77777777" w:rsidTr="00C854C5">
        <w:trPr>
          <w:trHeight w:hRule="exact" w:val="1931"/>
        </w:trPr>
        <w:tc>
          <w:tcPr>
            <w:tcW w:w="188" w:type="pct"/>
            <w:tcBorders>
              <w:top w:val="single" w:sz="4" w:space="0" w:color="auto"/>
              <w:left w:val="single" w:sz="4" w:space="0" w:color="auto"/>
              <w:bottom w:val="single" w:sz="4" w:space="0" w:color="auto"/>
              <w:right w:val="single" w:sz="4" w:space="0" w:color="auto"/>
            </w:tcBorders>
            <w:vAlign w:val="center"/>
          </w:tcPr>
          <w:p w14:paraId="72A5D518"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EECF8CC" w14:textId="77777777" w:rsidR="00C854C5" w:rsidRDefault="00C854C5">
            <w:pPr>
              <w:spacing w:after="200" w:line="276" w:lineRule="auto"/>
              <w:ind w:left="20"/>
              <w:rPr>
                <w:lang w:eastAsia="en-GB"/>
              </w:rPr>
            </w:pPr>
            <w:r>
              <w:rPr>
                <w:lang w:eastAsia="en-GB"/>
              </w:rPr>
              <w:t>How will these outcomes directly result in benefit for the public? Please give details. This should be the main section answered.</w:t>
            </w:r>
          </w:p>
          <w:p w14:paraId="44118659" w14:textId="77777777" w:rsidR="00C854C5" w:rsidRDefault="00C854C5">
            <w:pPr>
              <w:spacing w:after="200" w:line="276" w:lineRule="auto"/>
              <w:ind w:left="20"/>
              <w:rPr>
                <w:lang w:eastAsia="en-GB"/>
              </w:rPr>
            </w:pPr>
          </w:p>
          <w:p w14:paraId="6F5BCECF" w14:textId="77777777" w:rsidR="00C854C5" w:rsidRDefault="00C854C5">
            <w:pPr>
              <w:spacing w:after="200" w:line="276" w:lineRule="auto"/>
              <w:ind w:left="20"/>
              <w:rPr>
                <w:lang w:eastAsia="en-GB"/>
              </w:rPr>
            </w:pPr>
          </w:p>
          <w:p w14:paraId="3019CA2B" w14:textId="77777777" w:rsidR="00C854C5" w:rsidRDefault="00C854C5">
            <w:pPr>
              <w:spacing w:after="200" w:line="276" w:lineRule="auto"/>
              <w:ind w:left="20"/>
              <w:rPr>
                <w:lang w:eastAsia="en-GB"/>
              </w:rPr>
            </w:pPr>
          </w:p>
          <w:p w14:paraId="686DADE8" w14:textId="77777777" w:rsidR="00C854C5" w:rsidRDefault="00C854C5">
            <w:pPr>
              <w:spacing w:after="200" w:line="276" w:lineRule="auto"/>
              <w:ind w:left="20"/>
              <w:rPr>
                <w:lang w:eastAsia="en-GB"/>
              </w:rPr>
            </w:pPr>
          </w:p>
          <w:p w14:paraId="52B598C3" w14:textId="77777777" w:rsidR="00C854C5" w:rsidRDefault="00C854C5">
            <w:pPr>
              <w:spacing w:after="200" w:line="276" w:lineRule="auto"/>
              <w:ind w:left="20"/>
              <w:rPr>
                <w:lang w:eastAsia="en-GB"/>
              </w:rPr>
            </w:pPr>
          </w:p>
          <w:p w14:paraId="1BB257DE" w14:textId="77777777" w:rsidR="00C854C5" w:rsidRDefault="00C854C5">
            <w:pPr>
              <w:spacing w:after="200" w:line="276" w:lineRule="auto"/>
              <w:ind w:left="20"/>
              <w:rPr>
                <w:lang w:eastAsia="en-GB"/>
              </w:rPr>
            </w:pPr>
          </w:p>
          <w:p w14:paraId="23E1B020" w14:textId="77777777" w:rsidR="00C854C5" w:rsidRDefault="00C854C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42E7240" w14:textId="77777777" w:rsidR="00C854C5" w:rsidRDefault="00C854C5">
            <w:pPr>
              <w:spacing w:line="360" w:lineRule="auto"/>
              <w:rPr>
                <w:sz w:val="16"/>
                <w:szCs w:val="16"/>
                <w:lang w:eastAsia="en-GB"/>
              </w:rPr>
            </w:pPr>
            <w:r>
              <w:rPr>
                <w:sz w:val="16"/>
                <w:szCs w:val="16"/>
                <w:lang w:eastAsia="en-GB"/>
              </w:rPr>
              <w:t>The results of this study have been important in adding to the evidence base regarding the usage of pressure wire technology. The results have been of interest to the scientific community and will be part of a changing landscape for how the technology is best applied to help provide best care for our patients. It is likely this evidence will be cited in next iterations of European/British cardiac guidelines on the subject.</w:t>
            </w:r>
          </w:p>
          <w:p w14:paraId="24E1C4B0" w14:textId="77777777" w:rsidR="00C854C5" w:rsidRDefault="00C854C5">
            <w:pPr>
              <w:spacing w:line="360" w:lineRule="auto"/>
              <w:rPr>
                <w:lang w:eastAsia="en-GB"/>
              </w:rPr>
            </w:pPr>
          </w:p>
          <w:p w14:paraId="044359B3" w14:textId="77777777" w:rsidR="00C854C5" w:rsidRDefault="00C854C5">
            <w:pPr>
              <w:spacing w:line="360" w:lineRule="auto"/>
              <w:rPr>
                <w:lang w:eastAsia="en-GB"/>
              </w:rPr>
            </w:pPr>
          </w:p>
          <w:p w14:paraId="26D4DFA0" w14:textId="77777777" w:rsidR="00C854C5" w:rsidRDefault="00C854C5">
            <w:pPr>
              <w:spacing w:line="360" w:lineRule="auto"/>
              <w:rPr>
                <w:lang w:eastAsia="en-GB"/>
              </w:rPr>
            </w:pPr>
          </w:p>
          <w:p w14:paraId="4F93CE6C" w14:textId="77777777" w:rsidR="00C854C5" w:rsidRDefault="00C854C5">
            <w:pPr>
              <w:spacing w:line="360" w:lineRule="auto"/>
              <w:rPr>
                <w:lang w:eastAsia="en-GB"/>
              </w:rPr>
            </w:pPr>
          </w:p>
          <w:p w14:paraId="7462E225" w14:textId="77777777" w:rsidR="00C854C5" w:rsidRDefault="00C854C5">
            <w:pPr>
              <w:spacing w:line="360" w:lineRule="auto"/>
              <w:rPr>
                <w:lang w:eastAsia="en-GB"/>
              </w:rPr>
            </w:pPr>
          </w:p>
          <w:p w14:paraId="108A8846" w14:textId="77777777" w:rsidR="00C854C5" w:rsidRDefault="00C854C5">
            <w:pPr>
              <w:spacing w:line="360" w:lineRule="auto"/>
              <w:rPr>
                <w:lang w:eastAsia="en-GB"/>
              </w:rPr>
            </w:pPr>
          </w:p>
          <w:p w14:paraId="2D9AAF63" w14:textId="77777777" w:rsidR="00C854C5" w:rsidRDefault="00C854C5">
            <w:pPr>
              <w:spacing w:line="360" w:lineRule="auto"/>
              <w:rPr>
                <w:lang w:eastAsia="en-GB"/>
              </w:rPr>
            </w:pPr>
          </w:p>
        </w:tc>
      </w:tr>
      <w:tr w:rsidR="00C854C5" w14:paraId="4B4C4BB8"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B5FA3B" w14:textId="77777777" w:rsidR="00C854C5" w:rsidRDefault="00C854C5">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4D74F6" w14:textId="77777777" w:rsidR="00C854C5" w:rsidRDefault="00C854C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8CDECE" w14:textId="77777777" w:rsidR="00C854C5" w:rsidRDefault="00C854C5">
            <w:pPr>
              <w:spacing w:after="200" w:line="276" w:lineRule="auto"/>
              <w:ind w:left="360"/>
              <w:rPr>
                <w:lang w:eastAsia="en-GB"/>
              </w:rPr>
            </w:pPr>
          </w:p>
        </w:tc>
      </w:tr>
      <w:tr w:rsidR="00C854C5" w14:paraId="621C87D5" w14:textId="77777777" w:rsidTr="00C854C5">
        <w:trPr>
          <w:trHeight w:hRule="exact" w:val="2121"/>
        </w:trPr>
        <w:tc>
          <w:tcPr>
            <w:tcW w:w="188" w:type="pct"/>
            <w:tcBorders>
              <w:top w:val="single" w:sz="4" w:space="0" w:color="auto"/>
              <w:left w:val="single" w:sz="4" w:space="0" w:color="auto"/>
              <w:bottom w:val="single" w:sz="4" w:space="0" w:color="auto"/>
              <w:right w:val="single" w:sz="4" w:space="0" w:color="auto"/>
            </w:tcBorders>
            <w:vAlign w:val="center"/>
          </w:tcPr>
          <w:p w14:paraId="4901A53D"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2CF55E" w14:textId="77777777" w:rsidR="00C854C5" w:rsidRDefault="00C854C5">
            <w:pPr>
              <w:spacing w:after="200" w:line="276" w:lineRule="auto"/>
              <w:ind w:left="20"/>
              <w:rPr>
                <w:lang w:eastAsia="en-GB"/>
              </w:rPr>
            </w:pPr>
            <w:r>
              <w:rPr>
                <w:lang w:eastAsia="en-GB"/>
              </w:rPr>
              <w:t xml:space="preserve">What data were received/processed/collected? </w:t>
            </w:r>
          </w:p>
          <w:p w14:paraId="5ACDF9AE" w14:textId="77777777" w:rsidR="00C854C5" w:rsidRDefault="00C854C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AF05C95" w14:textId="77777777" w:rsidR="00C854C5" w:rsidRDefault="00C854C5">
            <w:pPr>
              <w:spacing w:line="360" w:lineRule="auto"/>
              <w:rPr>
                <w:lang w:eastAsia="en-GB"/>
              </w:rPr>
            </w:pPr>
            <w:r>
              <w:rPr>
                <w:lang w:eastAsia="en-GB"/>
              </w:rPr>
              <w:t>SMR 00, SMR01, A&amp;E and NRS deaths data for 38 study participants recruited from Scottish hospitals, total 12 month data follow up for each. Data was as expected- not a large volume as majority of cohort in study were from English hospitals.</w:t>
            </w:r>
          </w:p>
        </w:tc>
      </w:tr>
      <w:tr w:rsidR="00C854C5" w14:paraId="729812D0"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93F00F" w14:textId="77777777" w:rsidR="00C854C5" w:rsidRDefault="00C854C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6D6F0D" w14:textId="77777777" w:rsidR="00C854C5" w:rsidRDefault="00C854C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4A2C74" w14:textId="77777777" w:rsidR="00C854C5" w:rsidRDefault="00C854C5">
            <w:pPr>
              <w:spacing w:after="200" w:line="276" w:lineRule="auto"/>
              <w:ind w:left="360"/>
              <w:rPr>
                <w:lang w:eastAsia="en-GB"/>
              </w:rPr>
            </w:pPr>
          </w:p>
        </w:tc>
      </w:tr>
      <w:tr w:rsidR="00C854C5" w14:paraId="47161EEB" w14:textId="77777777" w:rsidTr="00C854C5">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F16AA01"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84BD42" w14:textId="77777777" w:rsidR="00C854C5" w:rsidRDefault="00C854C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65D5F1A" w14:textId="77777777" w:rsidR="00C854C5" w:rsidRDefault="00C854C5">
            <w:pPr>
              <w:spacing w:line="360" w:lineRule="auto"/>
              <w:rPr>
                <w:lang w:eastAsia="en-GB"/>
              </w:rPr>
            </w:pPr>
            <w:r>
              <w:rPr>
                <w:lang w:eastAsia="en-GB"/>
              </w:rPr>
              <w:t>Data was electronically transferred to us as per application.</w:t>
            </w:r>
          </w:p>
        </w:tc>
      </w:tr>
      <w:tr w:rsidR="00C854C5" w14:paraId="1FB792C0" w14:textId="77777777" w:rsidTr="00C854C5">
        <w:trPr>
          <w:trHeight w:hRule="exact" w:val="20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F93C" w14:textId="77777777" w:rsidR="00C854C5" w:rsidRDefault="00C854C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4E240CD" w14:textId="77777777" w:rsidR="00C854C5" w:rsidRDefault="00C854C5">
            <w:pPr>
              <w:spacing w:after="200" w:line="276" w:lineRule="auto"/>
              <w:ind w:left="20"/>
              <w:rPr>
                <w:lang w:eastAsia="en-GB"/>
              </w:rPr>
            </w:pPr>
            <w:r>
              <w:rPr>
                <w:lang w:eastAsia="en-GB"/>
              </w:rPr>
              <w:t xml:space="preserve">How did you process the data? </w:t>
            </w:r>
          </w:p>
          <w:p w14:paraId="16DCAF53" w14:textId="77777777" w:rsidR="00C854C5" w:rsidRDefault="00C854C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B3EB522" w14:textId="77777777" w:rsidR="00C854C5" w:rsidRDefault="00C854C5">
            <w:pPr>
              <w:spacing w:after="200" w:line="276" w:lineRule="auto"/>
              <w:ind w:left="20"/>
              <w:rPr>
                <w:lang w:eastAsia="en-GB"/>
              </w:rPr>
            </w:pPr>
            <w:r>
              <w:rPr>
                <w:lang w:eastAsia="en-GB"/>
              </w:rPr>
              <w:t>Data was processed on site at LHCH only as planned on secure server. The processing mainly involved the use of Microsoft excel and Microsoft Access databases, and our bespoke algorithms to enable us to determine outcome measures (clinical outcome events as well as hospital costs)</w:t>
            </w:r>
          </w:p>
        </w:tc>
      </w:tr>
      <w:tr w:rsidR="00C854C5" w14:paraId="4EFA0A00" w14:textId="77777777" w:rsidTr="00C854C5">
        <w:trPr>
          <w:trHeight w:hRule="exac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58878" w14:textId="77777777" w:rsidR="00C854C5" w:rsidRDefault="00C854C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DD150B0" w14:textId="77777777" w:rsidR="00C854C5" w:rsidRDefault="00C854C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2115BC2" w14:textId="77777777" w:rsidR="00C854C5" w:rsidRDefault="00C854C5">
            <w:pPr>
              <w:spacing w:line="360" w:lineRule="auto"/>
              <w:rPr>
                <w:lang w:eastAsia="en-GB"/>
              </w:rPr>
            </w:pPr>
            <w:r>
              <w:rPr>
                <w:lang w:eastAsia="en-GB"/>
              </w:rPr>
              <w:t>The data was published in aggregate anonymised form- publication in major cardiology journal (Circulation) and results presented at major cardiac conference (ESC 2022).</w:t>
            </w:r>
          </w:p>
        </w:tc>
      </w:tr>
      <w:tr w:rsidR="00C854C5" w14:paraId="5FB254A7" w14:textId="77777777" w:rsidTr="00C854C5">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E8ABF" w14:textId="77777777" w:rsidR="00C854C5" w:rsidRDefault="00C854C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AFDBF0A" w14:textId="77777777" w:rsidR="00C854C5" w:rsidRDefault="00C854C5">
            <w:pPr>
              <w:spacing w:after="200" w:line="276" w:lineRule="auto"/>
              <w:ind w:left="20"/>
              <w:rPr>
                <w:lang w:eastAsia="en-GB"/>
              </w:rPr>
            </w:pPr>
            <w:r>
              <w:rPr>
                <w:lang w:eastAsia="en-GB"/>
              </w:rPr>
              <w:t>Did your study scope change from its original aims? Please give brief details.</w:t>
            </w:r>
          </w:p>
          <w:p w14:paraId="2396D3ED" w14:textId="77777777" w:rsidR="00C854C5" w:rsidRDefault="00C854C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C4CF726" w14:textId="77777777" w:rsidR="00C854C5" w:rsidRDefault="00C854C5">
            <w:pPr>
              <w:spacing w:line="360" w:lineRule="auto"/>
              <w:rPr>
                <w:lang w:eastAsia="en-GB"/>
              </w:rPr>
            </w:pPr>
            <w:r>
              <w:rPr>
                <w:lang w:eastAsia="en-GB"/>
              </w:rPr>
              <w:t>no</w:t>
            </w:r>
          </w:p>
        </w:tc>
      </w:tr>
      <w:tr w:rsidR="00C854C5" w14:paraId="788250CF"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668194" w14:textId="77777777" w:rsidR="00C854C5" w:rsidRDefault="00C854C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85EEB9" w14:textId="77777777" w:rsidR="00C854C5" w:rsidRDefault="00C854C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23EE86" w14:textId="77777777" w:rsidR="00C854C5" w:rsidRDefault="00C854C5">
            <w:pPr>
              <w:spacing w:after="200" w:line="276" w:lineRule="auto"/>
              <w:ind w:left="360"/>
              <w:rPr>
                <w:lang w:eastAsia="en-GB"/>
              </w:rPr>
            </w:pPr>
          </w:p>
        </w:tc>
      </w:tr>
      <w:tr w:rsidR="00C854C5" w14:paraId="63630A1F" w14:textId="77777777" w:rsidTr="00C854C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A631600"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4FE122" w14:textId="77777777" w:rsidR="00C854C5" w:rsidRDefault="00C854C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7C94BE" w14:textId="77777777" w:rsidR="00C854C5" w:rsidRDefault="00C854C5">
            <w:pPr>
              <w:spacing w:line="360" w:lineRule="auto"/>
              <w:rPr>
                <w:sz w:val="20"/>
                <w:szCs w:val="20"/>
                <w:lang w:eastAsia="en-GB"/>
              </w:rPr>
            </w:pPr>
            <w:r>
              <w:rPr>
                <w:sz w:val="20"/>
                <w:szCs w:val="20"/>
                <w:lang w:eastAsia="en-GB"/>
              </w:rPr>
              <w:t>The outcome was the routine pressure wire usage</w:t>
            </w:r>
            <w:r>
              <w:rPr>
                <w:rFonts w:ascii="Helvetica" w:hAnsi="Helvetica" w:cs="Helvetica"/>
                <w:color w:val="000000"/>
                <w:sz w:val="20"/>
                <w:szCs w:val="20"/>
                <w:shd w:val="clear" w:color="auto" w:fill="FFFFFF"/>
              </w:rPr>
              <w:t xml:space="preserve"> compared with angiography alone did not result in a significant reduction in cost or improvement in quality of life, nor did it result in any difference in clinical outcome events at 12 months.</w:t>
            </w:r>
          </w:p>
        </w:tc>
      </w:tr>
      <w:tr w:rsidR="00C854C5" w14:paraId="3DBDDF65" w14:textId="77777777" w:rsidTr="00C854C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8843F1" w14:textId="77777777" w:rsidR="00C854C5" w:rsidRDefault="00C854C5">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A357FB" w14:textId="77777777" w:rsidR="00C854C5" w:rsidRDefault="00C854C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731373" w14:textId="77777777" w:rsidR="00C854C5" w:rsidRDefault="00C854C5">
            <w:pPr>
              <w:spacing w:after="200" w:line="276" w:lineRule="auto"/>
              <w:ind w:left="360"/>
              <w:rPr>
                <w:lang w:eastAsia="en-GB"/>
              </w:rPr>
            </w:pPr>
          </w:p>
        </w:tc>
      </w:tr>
      <w:tr w:rsidR="00C854C5" w14:paraId="12CB03C9" w14:textId="77777777" w:rsidTr="00C854C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382FFD82" w14:textId="77777777" w:rsidR="00C854C5" w:rsidRDefault="00C854C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1D3992" w14:textId="77777777" w:rsidR="00C854C5" w:rsidRDefault="00C854C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0366B9C" w14:textId="77777777" w:rsidR="00C854C5" w:rsidRDefault="00C854C5">
            <w:pPr>
              <w:spacing w:line="360" w:lineRule="auto"/>
              <w:rPr>
                <w:lang w:eastAsia="en-GB"/>
              </w:rPr>
            </w:pPr>
            <w:r>
              <w:rPr>
                <w:lang w:eastAsia="en-GB"/>
              </w:rPr>
              <w:t>The results indicate the pressure wire usage should not be mandated or routine in all coronary lesions. There is significant preceding evidence for its benefit in other studies however. Therefore further research questions will likely relate to allowing us to better identify in which select or specific group of patients it provides the benefit (as clearly total systematic use is non beneficial).</w:t>
            </w:r>
          </w:p>
        </w:tc>
      </w:tr>
    </w:tbl>
    <w:p w14:paraId="115CEDC5" w14:textId="77777777" w:rsidR="00C854C5" w:rsidRDefault="00C854C5" w:rsidP="00C854C5">
      <w:pPr>
        <w:spacing w:line="240" w:lineRule="auto"/>
        <w:ind w:left="-851"/>
        <w:rPr>
          <w:rFonts w:ascii="Arial" w:eastAsia="Times New Roman" w:hAnsi="Arial" w:cs="Arial"/>
          <w:lang w:eastAsia="en-GB"/>
        </w:rPr>
      </w:pPr>
    </w:p>
    <w:p w14:paraId="29ADA825" w14:textId="77777777" w:rsidR="00B33D1D" w:rsidRDefault="00B33D1D" w:rsidP="00E028FE">
      <w:pPr>
        <w:rPr>
          <w:rFonts w:eastAsia="Times New Roman" w:cstheme="minorHAnsi"/>
          <w:b/>
          <w:bCs/>
          <w:sz w:val="24"/>
          <w:szCs w:val="24"/>
        </w:rPr>
      </w:pPr>
    </w:p>
    <w:p w14:paraId="725BD25E" w14:textId="77777777" w:rsidR="00B33D1D" w:rsidRPr="00E028FE" w:rsidRDefault="00B33D1D" w:rsidP="00E028FE">
      <w:pPr>
        <w:rPr>
          <w:rFonts w:eastAsia="Times New Roman" w:cstheme="minorHAnsi"/>
          <w:b/>
          <w:bCs/>
          <w:sz w:val="24"/>
          <w:szCs w:val="24"/>
        </w:rPr>
      </w:pPr>
    </w:p>
    <w:p w14:paraId="2E09A48F" w14:textId="7424688D" w:rsidR="00120BC9" w:rsidRDefault="00120BC9" w:rsidP="00120BC9">
      <w:pPr>
        <w:pStyle w:val="Heading1"/>
        <w:rPr>
          <w:rFonts w:eastAsia="Times New Roman"/>
        </w:rPr>
      </w:pPr>
      <w:bookmarkStart w:id="36" w:name="_1920-0116_Ryan_Ottridge"/>
      <w:bookmarkEnd w:id="36"/>
      <w:r w:rsidRPr="00120BC9">
        <w:rPr>
          <w:rFonts w:eastAsia="Times New Roman"/>
        </w:rPr>
        <w:t>1920-0116</w:t>
      </w:r>
      <w:r w:rsidRPr="00120BC9">
        <w:rPr>
          <w:rFonts w:eastAsia="Times New Roman"/>
        </w:rPr>
        <w:tab/>
        <w:t>Ryan Ottridge</w:t>
      </w:r>
    </w:p>
    <w:p w14:paraId="40EDAE75" w14:textId="0B9464CA" w:rsidR="00120BC9" w:rsidRPr="00DD30E0" w:rsidRDefault="00DD30E0" w:rsidP="00120BC9">
      <w:pPr>
        <w:rPr>
          <w:rFonts w:eastAsia="Times New Roman" w:cstheme="minorHAnsi"/>
          <w:b/>
          <w:bCs/>
          <w:sz w:val="24"/>
          <w:szCs w:val="24"/>
        </w:rPr>
      </w:pPr>
      <w:r w:rsidRPr="00DD30E0">
        <w:rPr>
          <w:rFonts w:eastAsia="Times New Roman" w:cstheme="minorHAnsi"/>
          <w:b/>
          <w:bCs/>
          <w:sz w:val="24"/>
          <w:szCs w:val="24"/>
        </w:rPr>
        <w:t>PD MED Trial-A Large Randomised Assessment of the Cost of Different Classes of Drugs for Parkinson’s disease</w:t>
      </w:r>
    </w:p>
    <w:p w14:paraId="4BE45EF2" w14:textId="65DE408E" w:rsidR="00120BC9" w:rsidRDefault="00DD30E0" w:rsidP="00E125B7">
      <w:pPr>
        <w:rPr>
          <w:rFonts w:eastAsia="Times New Roman" w:cstheme="minorHAnsi"/>
          <w:b/>
          <w:bCs/>
          <w:sz w:val="24"/>
          <w:szCs w:val="24"/>
        </w:rPr>
      </w:pPr>
      <w:r w:rsidRPr="00DD30E0">
        <w:rPr>
          <w:rFonts w:eastAsia="Times New Roman" w:cstheme="minorHAnsi"/>
          <w:b/>
          <w:bCs/>
          <w:sz w:val="24"/>
          <w:szCs w:val="24"/>
        </w:rPr>
        <w:t>End of Project Report</w:t>
      </w:r>
    </w:p>
    <w:tbl>
      <w:tblPr>
        <w:tblStyle w:val="TableGrid"/>
        <w:tblW w:w="5000" w:type="pct"/>
        <w:tblLook w:val="04A0" w:firstRow="1" w:lastRow="0" w:firstColumn="1" w:lastColumn="0" w:noHBand="0" w:noVBand="1"/>
      </w:tblPr>
      <w:tblGrid>
        <w:gridCol w:w="339"/>
        <w:gridCol w:w="3359"/>
        <w:gridCol w:w="5318"/>
      </w:tblGrid>
      <w:tr w:rsidR="00F87A2B" w14:paraId="10CEE146"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FC9509" w14:textId="77777777" w:rsidR="00F87A2B" w:rsidRDefault="00F87A2B">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EE23DA" w14:textId="77777777" w:rsidR="00F87A2B" w:rsidRDefault="00F87A2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E25B22" w14:textId="77777777" w:rsidR="00F87A2B" w:rsidRDefault="00F87A2B">
            <w:pPr>
              <w:spacing w:after="200" w:line="276" w:lineRule="auto"/>
              <w:ind w:left="360"/>
              <w:rPr>
                <w:lang w:eastAsia="en-GB"/>
              </w:rPr>
            </w:pPr>
          </w:p>
        </w:tc>
      </w:tr>
      <w:tr w:rsidR="00F87A2B" w14:paraId="26491F1E" w14:textId="77777777" w:rsidTr="00F87A2B">
        <w:trPr>
          <w:trHeight w:hRule="exact" w:val="2181"/>
        </w:trPr>
        <w:tc>
          <w:tcPr>
            <w:tcW w:w="188" w:type="pct"/>
            <w:tcBorders>
              <w:top w:val="single" w:sz="4" w:space="0" w:color="auto"/>
              <w:left w:val="single" w:sz="4" w:space="0" w:color="auto"/>
              <w:bottom w:val="single" w:sz="4" w:space="0" w:color="auto"/>
              <w:right w:val="single" w:sz="4" w:space="0" w:color="auto"/>
            </w:tcBorders>
            <w:vAlign w:val="center"/>
          </w:tcPr>
          <w:p w14:paraId="6BA4FD90"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A073ED" w14:textId="77777777" w:rsidR="00F87A2B" w:rsidRDefault="00F87A2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D8C1341" w14:textId="77777777" w:rsidR="00F87A2B" w:rsidRDefault="00F87A2B">
            <w:pPr>
              <w:pStyle w:val="Default"/>
              <w:rPr>
                <w:sz w:val="23"/>
                <w:szCs w:val="23"/>
              </w:rPr>
            </w:pPr>
            <w:r>
              <w:rPr>
                <w:sz w:val="23"/>
                <w:szCs w:val="23"/>
              </w:rPr>
              <w:t xml:space="preserve">The objective of the PD MED study is to determine the relative cost-effectiveness of the different classes of PD medications for Early disease patients (newly or recently diagnosed for less than 6 months) and for Later disease patients, who need additional medications to control their motor symptoms. </w:t>
            </w:r>
          </w:p>
          <w:p w14:paraId="71CB7B61" w14:textId="77777777" w:rsidR="00F87A2B" w:rsidRDefault="00F87A2B">
            <w:pPr>
              <w:spacing w:line="360" w:lineRule="auto"/>
              <w:rPr>
                <w:lang w:eastAsia="en-GB"/>
              </w:rPr>
            </w:pPr>
          </w:p>
        </w:tc>
      </w:tr>
      <w:tr w:rsidR="00F87A2B" w14:paraId="4FDEC020"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3B8482" w14:textId="77777777" w:rsidR="00F87A2B" w:rsidRDefault="00F87A2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575B6D" w14:textId="77777777" w:rsidR="00F87A2B" w:rsidRDefault="00F87A2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B232A" w14:textId="77777777" w:rsidR="00F87A2B" w:rsidRDefault="00F87A2B">
            <w:pPr>
              <w:spacing w:after="200" w:line="276" w:lineRule="auto"/>
              <w:ind w:left="360"/>
              <w:rPr>
                <w:lang w:eastAsia="en-GB"/>
              </w:rPr>
            </w:pPr>
          </w:p>
          <w:p w14:paraId="7960CF6E" w14:textId="77777777" w:rsidR="00F87A2B" w:rsidRDefault="00F87A2B">
            <w:pPr>
              <w:spacing w:after="200" w:line="276" w:lineRule="auto"/>
              <w:rPr>
                <w:lang w:eastAsia="en-GB"/>
              </w:rPr>
            </w:pPr>
          </w:p>
          <w:p w14:paraId="1202B29D" w14:textId="77777777" w:rsidR="00F87A2B" w:rsidRDefault="00F87A2B">
            <w:pPr>
              <w:spacing w:after="200" w:line="276" w:lineRule="auto"/>
              <w:rPr>
                <w:lang w:eastAsia="en-GB"/>
              </w:rPr>
            </w:pPr>
          </w:p>
          <w:p w14:paraId="0C8AEA0F" w14:textId="77777777" w:rsidR="00F87A2B" w:rsidRDefault="00F87A2B">
            <w:pPr>
              <w:spacing w:after="200" w:line="276" w:lineRule="auto"/>
              <w:rPr>
                <w:lang w:eastAsia="en-GB"/>
              </w:rPr>
            </w:pPr>
          </w:p>
          <w:p w14:paraId="4841FDB1" w14:textId="77777777" w:rsidR="00F87A2B" w:rsidRDefault="00F87A2B">
            <w:pPr>
              <w:spacing w:after="200" w:line="276" w:lineRule="auto"/>
              <w:rPr>
                <w:lang w:eastAsia="en-GB"/>
              </w:rPr>
            </w:pPr>
          </w:p>
          <w:p w14:paraId="26AE4AA4" w14:textId="77777777" w:rsidR="00F87A2B" w:rsidRDefault="00F87A2B">
            <w:pPr>
              <w:spacing w:after="200" w:line="276" w:lineRule="auto"/>
              <w:rPr>
                <w:lang w:eastAsia="en-GB"/>
              </w:rPr>
            </w:pPr>
          </w:p>
          <w:p w14:paraId="0772392B" w14:textId="77777777" w:rsidR="00F87A2B" w:rsidRDefault="00F87A2B">
            <w:pPr>
              <w:spacing w:after="200" w:line="276" w:lineRule="auto"/>
              <w:rPr>
                <w:lang w:eastAsia="en-GB"/>
              </w:rPr>
            </w:pPr>
          </w:p>
          <w:p w14:paraId="4407D3F4" w14:textId="77777777" w:rsidR="00F87A2B" w:rsidRDefault="00F87A2B">
            <w:pPr>
              <w:spacing w:after="200" w:line="276" w:lineRule="auto"/>
              <w:rPr>
                <w:lang w:eastAsia="en-GB"/>
              </w:rPr>
            </w:pPr>
          </w:p>
          <w:p w14:paraId="7B5B0D5B" w14:textId="77777777" w:rsidR="00F87A2B" w:rsidRDefault="00F87A2B">
            <w:pPr>
              <w:spacing w:after="200" w:line="276" w:lineRule="auto"/>
              <w:rPr>
                <w:lang w:eastAsia="en-GB"/>
              </w:rPr>
            </w:pPr>
          </w:p>
          <w:p w14:paraId="6F1C5477" w14:textId="77777777" w:rsidR="00F87A2B" w:rsidRDefault="00F87A2B">
            <w:pPr>
              <w:spacing w:after="200" w:line="276" w:lineRule="auto"/>
              <w:rPr>
                <w:lang w:eastAsia="en-GB"/>
              </w:rPr>
            </w:pPr>
          </w:p>
          <w:p w14:paraId="2CE1558A" w14:textId="77777777" w:rsidR="00F87A2B" w:rsidRDefault="00F87A2B">
            <w:pPr>
              <w:spacing w:after="200" w:line="276" w:lineRule="auto"/>
              <w:rPr>
                <w:lang w:eastAsia="en-GB"/>
              </w:rPr>
            </w:pPr>
          </w:p>
          <w:p w14:paraId="5B9B4FCB" w14:textId="77777777" w:rsidR="00F87A2B" w:rsidRDefault="00F87A2B">
            <w:pPr>
              <w:spacing w:after="200" w:line="276" w:lineRule="auto"/>
              <w:rPr>
                <w:lang w:eastAsia="en-GB"/>
              </w:rPr>
            </w:pPr>
          </w:p>
          <w:p w14:paraId="70511594" w14:textId="77777777" w:rsidR="00F87A2B" w:rsidRDefault="00F87A2B">
            <w:pPr>
              <w:spacing w:after="200" w:line="276" w:lineRule="auto"/>
              <w:rPr>
                <w:lang w:eastAsia="en-GB"/>
              </w:rPr>
            </w:pPr>
          </w:p>
          <w:p w14:paraId="71B5D21D" w14:textId="77777777" w:rsidR="00F87A2B" w:rsidRDefault="00F87A2B">
            <w:pPr>
              <w:spacing w:after="200" w:line="276" w:lineRule="auto"/>
              <w:rPr>
                <w:lang w:eastAsia="en-GB"/>
              </w:rPr>
            </w:pPr>
          </w:p>
          <w:p w14:paraId="674A8C68" w14:textId="77777777" w:rsidR="00F87A2B" w:rsidRDefault="00F87A2B">
            <w:pPr>
              <w:spacing w:after="200" w:line="276" w:lineRule="auto"/>
              <w:rPr>
                <w:lang w:eastAsia="en-GB"/>
              </w:rPr>
            </w:pPr>
          </w:p>
          <w:p w14:paraId="31F964F2" w14:textId="77777777" w:rsidR="00F87A2B" w:rsidRDefault="00F87A2B">
            <w:pPr>
              <w:spacing w:after="200" w:line="276" w:lineRule="auto"/>
              <w:rPr>
                <w:lang w:eastAsia="en-GB"/>
              </w:rPr>
            </w:pPr>
          </w:p>
          <w:p w14:paraId="47A278B9" w14:textId="77777777" w:rsidR="00F87A2B" w:rsidRDefault="00F87A2B">
            <w:pPr>
              <w:spacing w:after="200" w:line="276" w:lineRule="auto"/>
              <w:rPr>
                <w:lang w:eastAsia="en-GB"/>
              </w:rPr>
            </w:pPr>
          </w:p>
          <w:p w14:paraId="3EFE1EC2" w14:textId="77777777" w:rsidR="00F87A2B" w:rsidRDefault="00F87A2B">
            <w:pPr>
              <w:spacing w:after="200" w:line="276" w:lineRule="auto"/>
              <w:rPr>
                <w:lang w:eastAsia="en-GB"/>
              </w:rPr>
            </w:pPr>
          </w:p>
          <w:p w14:paraId="35EED23E" w14:textId="77777777" w:rsidR="00F87A2B" w:rsidRDefault="00F87A2B">
            <w:pPr>
              <w:spacing w:after="200" w:line="276" w:lineRule="auto"/>
              <w:rPr>
                <w:lang w:eastAsia="en-GB"/>
              </w:rPr>
            </w:pPr>
          </w:p>
          <w:p w14:paraId="26045F3B" w14:textId="77777777" w:rsidR="00F87A2B" w:rsidRDefault="00F87A2B">
            <w:pPr>
              <w:spacing w:after="200" w:line="276" w:lineRule="auto"/>
              <w:rPr>
                <w:lang w:eastAsia="en-GB"/>
              </w:rPr>
            </w:pPr>
          </w:p>
          <w:p w14:paraId="10C61196" w14:textId="77777777" w:rsidR="00F87A2B" w:rsidRDefault="00F87A2B">
            <w:pPr>
              <w:spacing w:after="200" w:line="276" w:lineRule="auto"/>
              <w:rPr>
                <w:lang w:eastAsia="en-GB"/>
              </w:rPr>
            </w:pPr>
          </w:p>
          <w:p w14:paraId="199D4EFB" w14:textId="77777777" w:rsidR="00F87A2B" w:rsidRDefault="00F87A2B">
            <w:pPr>
              <w:spacing w:after="200" w:line="276" w:lineRule="auto"/>
              <w:rPr>
                <w:lang w:eastAsia="en-GB"/>
              </w:rPr>
            </w:pPr>
          </w:p>
          <w:p w14:paraId="42EBC275" w14:textId="77777777" w:rsidR="00F87A2B" w:rsidRDefault="00F87A2B">
            <w:pPr>
              <w:spacing w:after="200" w:line="276" w:lineRule="auto"/>
              <w:rPr>
                <w:lang w:eastAsia="en-GB"/>
              </w:rPr>
            </w:pPr>
          </w:p>
          <w:p w14:paraId="698FE316" w14:textId="77777777" w:rsidR="00F87A2B" w:rsidRDefault="00F87A2B">
            <w:pPr>
              <w:spacing w:after="200" w:line="276" w:lineRule="auto"/>
              <w:rPr>
                <w:lang w:eastAsia="en-GB"/>
              </w:rPr>
            </w:pPr>
          </w:p>
          <w:p w14:paraId="5007A200" w14:textId="77777777" w:rsidR="00F87A2B" w:rsidRDefault="00F87A2B">
            <w:pPr>
              <w:spacing w:after="200" w:line="276" w:lineRule="auto"/>
              <w:rPr>
                <w:lang w:eastAsia="en-GB"/>
              </w:rPr>
            </w:pPr>
          </w:p>
        </w:tc>
      </w:tr>
      <w:tr w:rsidR="00F87A2B" w14:paraId="65401EDF" w14:textId="77777777" w:rsidTr="00F87A2B">
        <w:trPr>
          <w:trHeight w:hRule="exact" w:val="14919"/>
        </w:trPr>
        <w:tc>
          <w:tcPr>
            <w:tcW w:w="188" w:type="pct"/>
            <w:tcBorders>
              <w:top w:val="single" w:sz="4" w:space="0" w:color="auto"/>
              <w:left w:val="single" w:sz="4" w:space="0" w:color="auto"/>
              <w:bottom w:val="single" w:sz="4" w:space="0" w:color="auto"/>
              <w:right w:val="single" w:sz="4" w:space="0" w:color="auto"/>
            </w:tcBorders>
            <w:vAlign w:val="center"/>
          </w:tcPr>
          <w:p w14:paraId="2F7D7B92"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BFA51BF" w14:textId="77777777" w:rsidR="00F87A2B" w:rsidRDefault="00F87A2B">
            <w:pPr>
              <w:spacing w:after="200" w:line="276" w:lineRule="auto"/>
              <w:rPr>
                <w:lang w:eastAsia="en-GB"/>
              </w:rPr>
            </w:pPr>
            <w:r>
              <w:rPr>
                <w:lang w:eastAsia="en-GB"/>
              </w:rPr>
              <w:t>How will these outcomes directly result in benefit for the public? Please give details. This should be the main section answered.</w:t>
            </w:r>
          </w:p>
          <w:p w14:paraId="4D1F180D" w14:textId="77777777" w:rsidR="00F87A2B" w:rsidRDefault="00F87A2B">
            <w:pPr>
              <w:spacing w:after="200" w:line="276" w:lineRule="auto"/>
              <w:ind w:left="20"/>
              <w:rPr>
                <w:lang w:eastAsia="en-GB"/>
              </w:rPr>
            </w:pPr>
          </w:p>
          <w:p w14:paraId="3CEA9ABE" w14:textId="77777777" w:rsidR="00F87A2B" w:rsidRDefault="00F87A2B">
            <w:pPr>
              <w:spacing w:after="200" w:line="276" w:lineRule="auto"/>
              <w:ind w:left="20"/>
              <w:rPr>
                <w:lang w:eastAsia="en-GB"/>
              </w:rPr>
            </w:pPr>
          </w:p>
          <w:p w14:paraId="0F3F33B5" w14:textId="77777777" w:rsidR="00F87A2B" w:rsidRDefault="00F87A2B">
            <w:pPr>
              <w:spacing w:after="200" w:line="276" w:lineRule="auto"/>
              <w:ind w:left="20"/>
              <w:rPr>
                <w:lang w:eastAsia="en-GB"/>
              </w:rPr>
            </w:pPr>
          </w:p>
          <w:p w14:paraId="06AF6194" w14:textId="77777777" w:rsidR="00F87A2B" w:rsidRDefault="00F87A2B">
            <w:pPr>
              <w:spacing w:after="200" w:line="276" w:lineRule="auto"/>
              <w:ind w:left="20"/>
              <w:rPr>
                <w:lang w:eastAsia="en-GB"/>
              </w:rPr>
            </w:pPr>
          </w:p>
          <w:p w14:paraId="113F0E6F" w14:textId="77777777" w:rsidR="00F87A2B" w:rsidRDefault="00F87A2B">
            <w:pPr>
              <w:spacing w:after="200" w:line="276" w:lineRule="auto"/>
              <w:ind w:left="20"/>
              <w:rPr>
                <w:lang w:eastAsia="en-GB"/>
              </w:rPr>
            </w:pPr>
          </w:p>
          <w:p w14:paraId="3B197D7C" w14:textId="77777777" w:rsidR="00F87A2B" w:rsidRDefault="00F87A2B">
            <w:pPr>
              <w:spacing w:after="200" w:line="276" w:lineRule="auto"/>
              <w:ind w:left="20"/>
              <w:rPr>
                <w:lang w:eastAsia="en-GB"/>
              </w:rPr>
            </w:pPr>
          </w:p>
          <w:p w14:paraId="5BEFCA9F" w14:textId="77777777" w:rsidR="00F87A2B" w:rsidRDefault="00F87A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93D2808" w14:textId="77777777" w:rsidR="00F87A2B" w:rsidRDefault="00F87A2B">
            <w:pPr>
              <w:pStyle w:val="Default"/>
              <w:rPr>
                <w:sz w:val="23"/>
                <w:szCs w:val="23"/>
              </w:rPr>
            </w:pPr>
            <w:r>
              <w:rPr>
                <w:sz w:val="23"/>
                <w:szCs w:val="23"/>
              </w:rPr>
              <w:t xml:space="preserve">Results from the PD MED trial will benefit PD patients because the results will have an impact on which medications clinicians will prescribe to treat PD patients with Early and Later disease. Results will also benefit the NHS. </w:t>
            </w:r>
          </w:p>
          <w:p w14:paraId="5A356E75" w14:textId="77777777" w:rsidR="00F87A2B" w:rsidRDefault="00F87A2B">
            <w:pPr>
              <w:pStyle w:val="Default"/>
              <w:rPr>
                <w:sz w:val="23"/>
                <w:szCs w:val="23"/>
              </w:rPr>
            </w:pPr>
          </w:p>
          <w:p w14:paraId="4EDB5725" w14:textId="77777777" w:rsidR="00F87A2B" w:rsidRDefault="00F87A2B">
            <w:pPr>
              <w:autoSpaceDE w:val="0"/>
              <w:autoSpaceDN w:val="0"/>
              <w:adjustRightInd w:val="0"/>
              <w:rPr>
                <w:sz w:val="23"/>
                <w:szCs w:val="23"/>
              </w:rPr>
            </w:pPr>
            <w:r>
              <w:rPr>
                <w:sz w:val="23"/>
                <w:szCs w:val="23"/>
              </w:rPr>
              <w:t xml:space="preserve">Results from the analyses of Early disease patients’ data after ten years follow-up were published in </w:t>
            </w:r>
            <w:r>
              <w:rPr>
                <w:i/>
                <w:iCs/>
                <w:sz w:val="23"/>
                <w:szCs w:val="23"/>
              </w:rPr>
              <w:t>Lancet</w:t>
            </w:r>
            <w:r>
              <w:rPr>
                <w:sz w:val="23"/>
                <w:szCs w:val="23"/>
              </w:rPr>
              <w:t xml:space="preserve"> in 2014 resulting in updated 2017 NICE guidelines for Early disease PD treatment. (</w:t>
            </w:r>
            <w:hyperlink r:id="rId11" w:history="1">
              <w:r>
                <w:rPr>
                  <w:rStyle w:val="Hyperlink"/>
                  <w:sz w:val="23"/>
                  <w:szCs w:val="23"/>
                </w:rPr>
                <w:t>https://www.nice.org.uk/guidance/ng 71/evidence/full-guideline-pdf-4538466253</w:t>
              </w:r>
            </w:hyperlink>
            <w:r>
              <w:rPr>
                <w:sz w:val="23"/>
                <w:szCs w:val="23"/>
              </w:rPr>
              <w:t xml:space="preserve">) </w:t>
            </w:r>
          </w:p>
          <w:p w14:paraId="4FAAFBB6" w14:textId="77777777" w:rsidR="00F87A2B" w:rsidRDefault="00F87A2B">
            <w:pPr>
              <w:autoSpaceDE w:val="0"/>
              <w:autoSpaceDN w:val="0"/>
              <w:adjustRightInd w:val="0"/>
              <w:rPr>
                <w:sz w:val="23"/>
                <w:szCs w:val="23"/>
              </w:rPr>
            </w:pPr>
          </w:p>
          <w:p w14:paraId="6D8743B7" w14:textId="77777777" w:rsidR="00F87A2B" w:rsidRDefault="00F87A2B">
            <w:pPr>
              <w:autoSpaceDE w:val="0"/>
              <w:autoSpaceDN w:val="0"/>
              <w:adjustRightInd w:val="0"/>
            </w:pPr>
            <w:r>
              <w:rPr>
                <w:sz w:val="23"/>
                <w:szCs w:val="23"/>
              </w:rPr>
              <w:t xml:space="preserve">Published in </w:t>
            </w:r>
            <w:r>
              <w:rPr>
                <w:i/>
                <w:iCs/>
                <w:sz w:val="23"/>
                <w:szCs w:val="23"/>
              </w:rPr>
              <w:t>JAMA Neurology</w:t>
            </w:r>
            <w:r>
              <w:rPr>
                <w:sz w:val="23"/>
                <w:szCs w:val="23"/>
              </w:rPr>
              <w:t xml:space="preserve"> in 2022, results from analyses of Later disease patients’ data after 10 years of follow-up indicates that</w:t>
            </w:r>
            <w:r>
              <w:rPr>
                <w:i/>
                <w:iCs/>
              </w:rPr>
              <w:t xml:space="preserve"> </w:t>
            </w:r>
            <w:r>
              <w:t>patient-rated quality of life was inferior when COMT inhibitors were used as adjuvant treatment compared with MAO-B inhibitors or dopamine agonists among people with PD who experienced motor complications that were uncontrolled by levodopa therapy. The MAO-B inhibitors produced equivalent disease control, suggesting that these agents may be underused as adjuvant therapy.</w:t>
            </w:r>
          </w:p>
          <w:p w14:paraId="793DB212" w14:textId="77777777" w:rsidR="00F87A2B" w:rsidRDefault="00F87A2B">
            <w:pPr>
              <w:autoSpaceDE w:val="0"/>
              <w:autoSpaceDN w:val="0"/>
              <w:adjustRightInd w:val="0"/>
            </w:pPr>
          </w:p>
          <w:p w14:paraId="4EE560A3" w14:textId="77777777" w:rsidR="00F87A2B" w:rsidRDefault="00F87A2B">
            <w:pPr>
              <w:pStyle w:val="Default"/>
              <w:rPr>
                <w:sz w:val="23"/>
                <w:szCs w:val="23"/>
              </w:rPr>
            </w:pPr>
            <w:r>
              <w:rPr>
                <w:sz w:val="23"/>
                <w:szCs w:val="23"/>
              </w:rPr>
              <w:t>On 31 Dec 2019, 20 years of follow-up for the PD MED patients was completed. PD MED is the only Parkinson’s Disease trial with such an extended follow-up period. Analyses of the data after 20 years of follow-up for Early and Later disease PD patients will provide further insight into the cost-effectiveness of the four different classes of PD medications used in the trial and will reveal whether treatment with any of these medications can delay onset of dementia, time to residential care and/or death. These last analyses are why the centrally held data, which we are requesting, are important, both to PD patients and to the NHS.</w:t>
            </w:r>
          </w:p>
          <w:p w14:paraId="50B9300B" w14:textId="77777777" w:rsidR="00F87A2B" w:rsidRDefault="00F87A2B">
            <w:pPr>
              <w:autoSpaceDE w:val="0"/>
              <w:autoSpaceDN w:val="0"/>
              <w:adjustRightInd w:val="0"/>
            </w:pPr>
          </w:p>
          <w:p w14:paraId="6B75063D" w14:textId="77777777" w:rsidR="00F87A2B" w:rsidRDefault="00F87A2B">
            <w:pPr>
              <w:pStyle w:val="Default"/>
              <w:rPr>
                <w:sz w:val="23"/>
                <w:szCs w:val="23"/>
              </w:rPr>
            </w:pPr>
          </w:p>
          <w:p w14:paraId="037D2FC0" w14:textId="77777777" w:rsidR="00F87A2B" w:rsidRDefault="00F87A2B">
            <w:pPr>
              <w:spacing w:line="360" w:lineRule="auto"/>
              <w:rPr>
                <w:lang w:eastAsia="en-GB"/>
              </w:rPr>
            </w:pPr>
          </w:p>
          <w:p w14:paraId="749D8747" w14:textId="77777777" w:rsidR="00F87A2B" w:rsidRDefault="00F87A2B">
            <w:pPr>
              <w:spacing w:line="360" w:lineRule="auto"/>
              <w:rPr>
                <w:lang w:eastAsia="en-GB"/>
              </w:rPr>
            </w:pPr>
          </w:p>
          <w:p w14:paraId="5A5BA747" w14:textId="77777777" w:rsidR="00F87A2B" w:rsidRDefault="00F87A2B">
            <w:pPr>
              <w:spacing w:line="360" w:lineRule="auto"/>
              <w:rPr>
                <w:lang w:eastAsia="en-GB"/>
              </w:rPr>
            </w:pPr>
          </w:p>
          <w:p w14:paraId="092D2BA2" w14:textId="77777777" w:rsidR="00F87A2B" w:rsidRDefault="00F87A2B">
            <w:pPr>
              <w:spacing w:line="360" w:lineRule="auto"/>
              <w:rPr>
                <w:lang w:eastAsia="en-GB"/>
              </w:rPr>
            </w:pPr>
          </w:p>
          <w:p w14:paraId="24EF9B5A" w14:textId="77777777" w:rsidR="00F87A2B" w:rsidRDefault="00F87A2B">
            <w:pPr>
              <w:spacing w:line="360" w:lineRule="auto"/>
              <w:rPr>
                <w:lang w:eastAsia="en-GB"/>
              </w:rPr>
            </w:pPr>
          </w:p>
          <w:p w14:paraId="172799B3" w14:textId="77777777" w:rsidR="00F87A2B" w:rsidRDefault="00F87A2B">
            <w:pPr>
              <w:spacing w:line="360" w:lineRule="auto"/>
              <w:rPr>
                <w:lang w:eastAsia="en-GB"/>
              </w:rPr>
            </w:pPr>
          </w:p>
        </w:tc>
      </w:tr>
      <w:tr w:rsidR="00F87A2B" w14:paraId="07A1859F"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ED4FB7" w14:textId="77777777" w:rsidR="00F87A2B" w:rsidRDefault="00F87A2B">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17FF3E" w14:textId="77777777" w:rsidR="00F87A2B" w:rsidRDefault="00F87A2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A7A63F" w14:textId="77777777" w:rsidR="00F87A2B" w:rsidRDefault="00F87A2B">
            <w:pPr>
              <w:spacing w:after="200" w:line="276" w:lineRule="auto"/>
              <w:ind w:left="360"/>
              <w:rPr>
                <w:lang w:eastAsia="en-GB"/>
              </w:rPr>
            </w:pPr>
          </w:p>
        </w:tc>
      </w:tr>
      <w:tr w:rsidR="00F87A2B" w14:paraId="04AE4C10" w14:textId="77777777" w:rsidTr="00F87A2B">
        <w:trPr>
          <w:trHeight w:hRule="exact" w:val="3215"/>
        </w:trPr>
        <w:tc>
          <w:tcPr>
            <w:tcW w:w="188" w:type="pct"/>
            <w:tcBorders>
              <w:top w:val="single" w:sz="4" w:space="0" w:color="auto"/>
              <w:left w:val="single" w:sz="4" w:space="0" w:color="auto"/>
              <w:bottom w:val="single" w:sz="4" w:space="0" w:color="auto"/>
              <w:right w:val="single" w:sz="4" w:space="0" w:color="auto"/>
            </w:tcBorders>
            <w:vAlign w:val="center"/>
          </w:tcPr>
          <w:p w14:paraId="5A8FEA38"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194ECB" w14:textId="77777777" w:rsidR="00F87A2B" w:rsidRDefault="00F87A2B">
            <w:pPr>
              <w:spacing w:after="200" w:line="276" w:lineRule="auto"/>
              <w:ind w:left="20"/>
              <w:rPr>
                <w:lang w:eastAsia="en-GB"/>
              </w:rPr>
            </w:pPr>
            <w:r>
              <w:rPr>
                <w:lang w:eastAsia="en-GB"/>
              </w:rPr>
              <w:t xml:space="preserve">What data were received/processed/collected? </w:t>
            </w:r>
          </w:p>
          <w:p w14:paraId="0BF0A388" w14:textId="77777777" w:rsidR="00F87A2B" w:rsidRDefault="00F87A2B">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9BE4D75" w14:textId="77777777" w:rsidR="00F87A2B" w:rsidRDefault="00F87A2B">
            <w:pPr>
              <w:rPr>
                <w:lang w:eastAsia="en-GB"/>
              </w:rPr>
            </w:pPr>
            <w:r>
              <w:rPr>
                <w:lang w:eastAsia="en-GB"/>
              </w:rPr>
              <w:t>From NHSCR, we received a one-off set of death and cancer registry data from the period Oct 2018 to April 2022. We requested data for 119 Scottish patients that were recruited to the PD MED trial. We received mortality data for 91 patients. The data that we received is currently being processed by our statistics team so for now, we cannot determine whether the data is as expected. After completion of analyses by our statisticians, the data will be transferred to Dr Emma McIntosh, at Glasgow University, who will complete the Health Economics analyses.</w:t>
            </w:r>
          </w:p>
        </w:tc>
      </w:tr>
      <w:tr w:rsidR="00F87A2B" w14:paraId="2841AA45"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A8AB06" w14:textId="77777777" w:rsidR="00F87A2B" w:rsidRDefault="00F87A2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B5DB46" w14:textId="77777777" w:rsidR="00F87A2B" w:rsidRDefault="00F87A2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A9DAF4" w14:textId="77777777" w:rsidR="00F87A2B" w:rsidRDefault="00F87A2B">
            <w:pPr>
              <w:spacing w:after="200" w:line="276" w:lineRule="auto"/>
              <w:ind w:left="360"/>
              <w:rPr>
                <w:lang w:eastAsia="en-GB"/>
              </w:rPr>
            </w:pPr>
          </w:p>
        </w:tc>
      </w:tr>
      <w:tr w:rsidR="00F87A2B" w14:paraId="7FA767F4" w14:textId="77777777" w:rsidTr="00F87A2B">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A2DD4A2"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B433433" w14:textId="77777777" w:rsidR="00F87A2B" w:rsidRDefault="00F87A2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36715A" w14:textId="77777777" w:rsidR="00F87A2B" w:rsidRDefault="00F87A2B">
            <w:pPr>
              <w:rPr>
                <w:lang w:eastAsia="en-GB"/>
              </w:rPr>
            </w:pPr>
            <w:r>
              <w:rPr>
                <w:lang w:eastAsia="en-GB"/>
              </w:rPr>
              <w:t>Utilising the University of Birmingham’s BEAR DataShare, which is a secure method of transferring up to 50GB of data, NHSCR sent us a spreadsheet with the mortality and cancer registry data of 91 patients.</w:t>
            </w:r>
          </w:p>
        </w:tc>
      </w:tr>
      <w:tr w:rsidR="00F87A2B" w14:paraId="57FA8AB3" w14:textId="77777777" w:rsidTr="00F87A2B">
        <w:trPr>
          <w:trHeight w:hRule="exact" w:val="36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BE8F6" w14:textId="77777777" w:rsidR="00F87A2B" w:rsidRDefault="00F87A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F34FFCD" w14:textId="77777777" w:rsidR="00F87A2B" w:rsidRDefault="00F87A2B">
            <w:pPr>
              <w:spacing w:after="200" w:line="276" w:lineRule="auto"/>
              <w:ind w:left="20"/>
              <w:rPr>
                <w:lang w:eastAsia="en-GB"/>
              </w:rPr>
            </w:pPr>
            <w:r>
              <w:rPr>
                <w:lang w:eastAsia="en-GB"/>
              </w:rPr>
              <w:t xml:space="preserve">How did you process the data? </w:t>
            </w:r>
          </w:p>
          <w:p w14:paraId="2F4664E4" w14:textId="77777777" w:rsidR="00F87A2B" w:rsidRDefault="00F87A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3A995DC3" w14:textId="77777777" w:rsidR="00F87A2B" w:rsidRDefault="00F87A2B">
            <w:pPr>
              <w:spacing w:after="200"/>
              <w:ind w:left="20"/>
              <w:rPr>
                <w:lang w:eastAsia="en-GB"/>
              </w:rPr>
            </w:pPr>
            <w:r>
              <w:rPr>
                <w:lang w:eastAsia="en-GB"/>
              </w:rPr>
              <w:t>The mortality data was entered into the PDMED database. The PDMED statisticians will use survival analysis methods to determine ti</w:t>
            </w:r>
            <w:r>
              <w:rPr>
                <w:sz w:val="23"/>
                <w:szCs w:val="23"/>
              </w:rPr>
              <w:t xml:space="preserve">me to onset of motor complications, dementia, need for institutional care and mortality. This will be compared across treatment arms. Kaplan-Meier survival curves will be constructed and compared using log-rank methods. If important co-variables are unbalanced between groups, a secondary analysis will be carried out using a Cox proportional hazards or an extended Cox model to account for any differences. </w:t>
            </w:r>
          </w:p>
          <w:p w14:paraId="28AEE100" w14:textId="77777777" w:rsidR="00F87A2B" w:rsidRDefault="00F87A2B">
            <w:pPr>
              <w:spacing w:after="200" w:line="276" w:lineRule="auto"/>
              <w:ind w:left="20"/>
              <w:rPr>
                <w:lang w:eastAsia="en-GB"/>
              </w:rPr>
            </w:pPr>
          </w:p>
        </w:tc>
      </w:tr>
      <w:tr w:rsidR="00F87A2B" w14:paraId="0331AB74" w14:textId="77777777" w:rsidTr="00F87A2B">
        <w:trPr>
          <w:trHeight w:hRule="exact" w:val="1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7DCBA" w14:textId="77777777" w:rsidR="00F87A2B" w:rsidRDefault="00F87A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CBB465" w14:textId="77777777" w:rsidR="00F87A2B" w:rsidRDefault="00F87A2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4D464F4" w14:textId="77777777" w:rsidR="00F87A2B" w:rsidRDefault="00F87A2B">
            <w:pPr>
              <w:rPr>
                <w:lang w:eastAsia="en-GB"/>
              </w:rPr>
            </w:pPr>
            <w:r>
              <w:rPr>
                <w:lang w:eastAsia="en-GB"/>
              </w:rPr>
              <w:t xml:space="preserve">Plans are to publish the results in a peer review journal such as </w:t>
            </w:r>
            <w:r>
              <w:rPr>
                <w:i/>
                <w:iCs/>
                <w:lang w:eastAsia="en-GB"/>
              </w:rPr>
              <w:t xml:space="preserve">Lancet. </w:t>
            </w:r>
            <w:r>
              <w:rPr>
                <w:lang w:eastAsia="en-GB"/>
              </w:rPr>
              <w:t>We will also need to submit the trial’s final results in the form of a final report, to our funder, NIHR/HTA.</w:t>
            </w:r>
          </w:p>
        </w:tc>
      </w:tr>
      <w:tr w:rsidR="00F87A2B" w14:paraId="75E03B12" w14:textId="77777777" w:rsidTr="00F87A2B">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B2735" w14:textId="77777777" w:rsidR="00F87A2B" w:rsidRDefault="00F87A2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C6BDA39" w14:textId="77777777" w:rsidR="00F87A2B" w:rsidRDefault="00F87A2B">
            <w:pPr>
              <w:spacing w:after="200" w:line="276" w:lineRule="auto"/>
              <w:ind w:left="20"/>
              <w:rPr>
                <w:lang w:eastAsia="en-GB"/>
              </w:rPr>
            </w:pPr>
            <w:r>
              <w:rPr>
                <w:lang w:eastAsia="en-GB"/>
              </w:rPr>
              <w:t>Did your study scope change from its original aims? Please give brief details.</w:t>
            </w:r>
          </w:p>
          <w:p w14:paraId="409F8F81" w14:textId="77777777" w:rsidR="00F87A2B" w:rsidRDefault="00F87A2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45116B0" w14:textId="77777777" w:rsidR="00F87A2B" w:rsidRDefault="00F87A2B">
            <w:pPr>
              <w:spacing w:line="360" w:lineRule="auto"/>
              <w:rPr>
                <w:lang w:eastAsia="en-GB"/>
              </w:rPr>
            </w:pPr>
            <w:r>
              <w:rPr>
                <w:lang w:eastAsia="en-GB"/>
              </w:rPr>
              <w:t>No.</w:t>
            </w:r>
          </w:p>
        </w:tc>
      </w:tr>
      <w:tr w:rsidR="00F87A2B" w14:paraId="1764C12F"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471947" w14:textId="77777777" w:rsidR="00F87A2B" w:rsidRDefault="00F87A2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A17675" w14:textId="77777777" w:rsidR="00F87A2B" w:rsidRDefault="00F87A2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4A5327" w14:textId="77777777" w:rsidR="00F87A2B" w:rsidRDefault="00F87A2B">
            <w:pPr>
              <w:spacing w:after="200" w:line="276" w:lineRule="auto"/>
              <w:ind w:left="360"/>
              <w:rPr>
                <w:lang w:eastAsia="en-GB"/>
              </w:rPr>
            </w:pPr>
          </w:p>
        </w:tc>
      </w:tr>
      <w:tr w:rsidR="00F87A2B" w14:paraId="626DBFFD" w14:textId="77777777" w:rsidTr="00F87A2B">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F53DC87"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F3FE037" w14:textId="77777777" w:rsidR="00F87A2B" w:rsidRDefault="00F87A2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0896828" w14:textId="77777777" w:rsidR="00F87A2B" w:rsidRDefault="00F87A2B">
            <w:pPr>
              <w:rPr>
                <w:lang w:eastAsia="en-GB"/>
              </w:rPr>
            </w:pPr>
            <w:r>
              <w:rPr>
                <w:lang w:eastAsia="en-GB"/>
              </w:rPr>
              <w:t>Results are still pending because our statisticians have not completed the analyses.</w:t>
            </w:r>
          </w:p>
        </w:tc>
      </w:tr>
      <w:tr w:rsidR="00F87A2B" w14:paraId="2B29CB2D" w14:textId="77777777" w:rsidTr="00F87A2B">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6B37AF" w14:textId="77777777" w:rsidR="00F87A2B" w:rsidRDefault="00F87A2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440831" w14:textId="77777777" w:rsidR="00F87A2B" w:rsidRDefault="00F87A2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FB34E9" w14:textId="77777777" w:rsidR="00F87A2B" w:rsidRDefault="00F87A2B">
            <w:pPr>
              <w:spacing w:after="200" w:line="276" w:lineRule="auto"/>
              <w:ind w:left="360"/>
              <w:rPr>
                <w:lang w:eastAsia="en-GB"/>
              </w:rPr>
            </w:pPr>
          </w:p>
        </w:tc>
      </w:tr>
      <w:tr w:rsidR="00F87A2B" w14:paraId="0A8643C8" w14:textId="77777777" w:rsidTr="00F87A2B">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D6452D6" w14:textId="77777777" w:rsidR="00F87A2B" w:rsidRDefault="00F87A2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CAE59D" w14:textId="77777777" w:rsidR="00F87A2B" w:rsidRDefault="00F87A2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ED773E7" w14:textId="77777777" w:rsidR="00F87A2B" w:rsidRDefault="00F87A2B">
            <w:pPr>
              <w:rPr>
                <w:lang w:eastAsia="en-GB"/>
              </w:rPr>
            </w:pPr>
            <w:r>
              <w:rPr>
                <w:lang w:eastAsia="en-GB"/>
              </w:rPr>
              <w:t>Unable to answer the query because we don’t have the results yet.</w:t>
            </w:r>
          </w:p>
        </w:tc>
      </w:tr>
    </w:tbl>
    <w:p w14:paraId="775367AB" w14:textId="77777777" w:rsidR="00DD30E0" w:rsidRDefault="00DD30E0" w:rsidP="00E125B7">
      <w:pPr>
        <w:rPr>
          <w:rFonts w:eastAsia="Times New Roman" w:cstheme="minorHAnsi"/>
          <w:b/>
          <w:bCs/>
          <w:sz w:val="24"/>
          <w:szCs w:val="24"/>
        </w:rPr>
      </w:pPr>
    </w:p>
    <w:p w14:paraId="513CF754" w14:textId="77777777" w:rsidR="00DD30E0" w:rsidRDefault="00DD30E0" w:rsidP="00E125B7">
      <w:pPr>
        <w:rPr>
          <w:rFonts w:eastAsia="Times New Roman" w:cstheme="minorHAnsi"/>
          <w:b/>
          <w:bCs/>
          <w:sz w:val="24"/>
          <w:szCs w:val="24"/>
        </w:rPr>
      </w:pPr>
    </w:p>
    <w:p w14:paraId="4F75E51E" w14:textId="585C8850" w:rsidR="00DD30E0" w:rsidRDefault="00B84790" w:rsidP="00B84790">
      <w:pPr>
        <w:pStyle w:val="Heading2"/>
        <w:rPr>
          <w:rFonts w:eastAsia="Times New Roman"/>
        </w:rPr>
      </w:pPr>
      <w:bookmarkStart w:id="37" w:name="_1920-0137_Dr_Matthew"/>
      <w:bookmarkEnd w:id="37"/>
      <w:r w:rsidRPr="00B84790">
        <w:rPr>
          <w:rFonts w:eastAsia="Times New Roman"/>
        </w:rPr>
        <w:t>1920-0137</w:t>
      </w:r>
      <w:r>
        <w:rPr>
          <w:rFonts w:eastAsia="Times New Roman"/>
        </w:rPr>
        <w:tab/>
      </w:r>
      <w:r w:rsidRPr="00B84790">
        <w:rPr>
          <w:rFonts w:eastAsia="Times New Roman"/>
        </w:rPr>
        <w:t>Dr Matthew J Northgraves</w:t>
      </w:r>
    </w:p>
    <w:p w14:paraId="4B589D7A" w14:textId="74112402" w:rsidR="00B84790" w:rsidRDefault="00B84790" w:rsidP="00E125B7">
      <w:pPr>
        <w:rPr>
          <w:rFonts w:eastAsia="Times New Roman" w:cstheme="minorHAnsi"/>
          <w:b/>
          <w:bCs/>
          <w:sz w:val="24"/>
          <w:szCs w:val="24"/>
        </w:rPr>
      </w:pPr>
      <w:r w:rsidRPr="00B84790">
        <w:rPr>
          <w:rFonts w:eastAsia="Times New Roman" w:cstheme="minorHAnsi"/>
          <w:b/>
          <w:bCs/>
          <w:sz w:val="24"/>
          <w:szCs w:val="24"/>
        </w:rPr>
        <w:t>Leukaemia In Pregnancy Study</w:t>
      </w:r>
    </w:p>
    <w:p w14:paraId="09068DDF" w14:textId="2225B8B1" w:rsidR="00B84790" w:rsidRDefault="00B84790" w:rsidP="00E125B7">
      <w:pPr>
        <w:rPr>
          <w:rFonts w:eastAsia="Times New Roman" w:cstheme="minorHAnsi"/>
          <w:b/>
          <w:bCs/>
          <w:sz w:val="24"/>
          <w:szCs w:val="24"/>
        </w:rPr>
      </w:pPr>
      <w:r>
        <w:rPr>
          <w:rFonts w:eastAsia="Times New Roman" w:cstheme="minorHAnsi"/>
          <w:b/>
          <w:bCs/>
          <w:sz w:val="24"/>
          <w:szCs w:val="24"/>
        </w:rPr>
        <w:t>End of Project Report</w:t>
      </w:r>
    </w:p>
    <w:p w14:paraId="40BC72C2" w14:textId="65B7A5BE" w:rsidR="00B84790" w:rsidRDefault="00B84790" w:rsidP="00E125B7">
      <w:pPr>
        <w:rPr>
          <w:rFonts w:eastAsia="Times New Roman" w:cstheme="minorHAnsi"/>
          <w:b/>
          <w:bCs/>
          <w:sz w:val="24"/>
          <w:szCs w:val="24"/>
        </w:rPr>
      </w:pPr>
      <w:r>
        <w:t xml:space="preserve">The Public Benefit Impact Summary 1 Aims What did the study set out to achieve? The Leukaemia in Pregnancy study aimed to monitor and record the current treatment and outcomes of patients diagnosed with acute leukaemia during or prior to pregnancy since August 2009. 2 Public Benefit Impact How will these outcomes directly result in benefit for the public? Please give details. This should be the main section answered. There is no clear evidence-based guidance on how to treat patients who are diagnosed with leukaemia during pregnancy. Therefore, the information collected by the leukaemia in pregnancy database, adds to the limited evidence base that currently exists. In combination with the other literature that has previously been published, clearer guidance in the treatment of patients who are diagnosed with leukaemia during pregnancy may be published enabling healthcare professionals to have greater confidence in managing these patients, leading to a more standardised approach to providing high quality care. This will benefit National Health Service (NHS) Trusts and patients across the UK through more informed clinical decision making with regards to the care they receive. 3 Data DocuSign Envelope ID: DF4CD904-B904-435F-84BC-0AB259A00084 Public Benefit and Privacy Panel for Health and Social Care End of Project Declaration and Summary 1920-0137 Northgraves End of Project Declaration and Summary Report V1.0 01.12.2023 What data were received/processed/collected? Was it as expected? Please give brief details. Data was received from the participating health board relating to the treatment of women who had diagnosis of acute leukaemia (AL) or high-risk myelodysplasia (MDS) in pregnancy, or who have conceived after receiving treatment for either AL or high-risk MDS. These included details of treatment received, information relating to the pregnancy and delivery, the outcome of the pregnancies and longer-term survival (up to 4 years) of the women. No directly identifiable information was collected beyond name when consent was provided. Consent forms were logically separate from the rest of the data. Out of the information collected, for certain variables the data quality was limited. 4 Methodology How did you collect the data? Data was collected directly from the patient’s case notes by the treating consultant and entered it into the LIPS research database. DocuSign Envelope ID: DF4CD904-B904-435F-84BC-0AB259A00084 Public Benefit and Privacy Panel for Health and Social Care End of Project Declaration and Summary 1920-0137 Northgraves End of Project Declaration and Summary Report V1.0 01.12.2023 How did you process the data? Consent was sought whenever reasonably possible from patients who were still in follow-up / in contact with the clinical care team to process their data. However, there was a subgroup where seeking consent was not possible (deceased) or not appropriate (e.g. no longer in active follow-up or contact with the clinical care team). These cases were collected when there was no evidence of previous dissent </w:t>
      </w:r>
      <w:r>
        <w:lastRenderedPageBreak/>
        <w:t>recorded with the local hospital records. Once the consent had been gained / relevant checks for previous dissent were made, the data was entered into the LIPS database within the Hull Health Trials Units instance of cloud-based data capture system REDCap Cloud. The dataset has now been anonymised with full dates changed to days from diagnosis. Other potentially information such year of events and specific sites have been deleted so that all the data from across the UK is under one group. All free text has been reviewed with any potentially identifiable information (e.g. Lab locations, dates) have been redacted. How did you provision/publish the information? The results have yet to be published as manuscript preparation is still ongoing. We are planning to present the results at national conferences and publish in peer reviewed journals. Did your study scope change from its original aims? Please give brief details. There was no change in the scope of the study from its original aims. 5 Outcomes: The outcomes / results of your proposal. Please give brief details. The results are still being written up for dissemination and will be published in due course. DocuSign Envelope ID: DF4CD904-B904-435F-84BC-0AB259A00084 Public Benefit and Privacy Panel for Health and Social Care End of Project Declaration and Summary 1920-0137 Northgraves End of Project Declaration and Summary Report V1.0 01.12.2023 6 Future Questions: Have the processes / results raised further questions for future exploration? Please give brief details. Issues with getting more health boards / NHS trusts involved and subsequent missing data raises the questions whether may be available using routine datasets.</w:t>
      </w:r>
    </w:p>
    <w:p w14:paraId="4B4A934A" w14:textId="77777777" w:rsidR="00DD30E0" w:rsidRDefault="00DD30E0" w:rsidP="00E125B7">
      <w:pPr>
        <w:rPr>
          <w:rFonts w:eastAsia="Times New Roman" w:cstheme="minorHAnsi"/>
          <w:b/>
          <w:bCs/>
          <w:sz w:val="24"/>
          <w:szCs w:val="24"/>
        </w:rPr>
      </w:pPr>
    </w:p>
    <w:p w14:paraId="5B10548C" w14:textId="77777777" w:rsidR="00DD30E0" w:rsidRDefault="00DD30E0" w:rsidP="00E125B7">
      <w:pPr>
        <w:rPr>
          <w:rFonts w:eastAsia="Times New Roman" w:cstheme="minorHAnsi"/>
          <w:b/>
          <w:bCs/>
          <w:sz w:val="24"/>
          <w:szCs w:val="24"/>
        </w:rPr>
      </w:pPr>
    </w:p>
    <w:p w14:paraId="12053811" w14:textId="77777777" w:rsidR="000C02A3" w:rsidRDefault="000C02A3" w:rsidP="00A0748F">
      <w:pPr>
        <w:spacing w:line="240" w:lineRule="auto"/>
        <w:ind w:left="-851"/>
        <w:rPr>
          <w:b/>
          <w:sz w:val="28"/>
          <w:szCs w:val="28"/>
        </w:rPr>
      </w:pPr>
    </w:p>
    <w:p w14:paraId="2088EE48" w14:textId="77777777" w:rsidR="00A0748F" w:rsidRDefault="00A0748F" w:rsidP="00663381">
      <w:pPr>
        <w:spacing w:line="240" w:lineRule="auto"/>
        <w:ind w:left="-851"/>
        <w:rPr>
          <w:b/>
          <w:sz w:val="28"/>
          <w:szCs w:val="28"/>
        </w:rPr>
      </w:pPr>
    </w:p>
    <w:p w14:paraId="2726407D" w14:textId="77777777" w:rsidR="00A0748F" w:rsidRDefault="00A0748F" w:rsidP="00663381">
      <w:pPr>
        <w:spacing w:line="240" w:lineRule="auto"/>
        <w:ind w:left="-851"/>
        <w:rPr>
          <w:b/>
          <w:sz w:val="28"/>
          <w:szCs w:val="28"/>
        </w:rPr>
      </w:pPr>
    </w:p>
    <w:p w14:paraId="5B66BE6D" w14:textId="77777777" w:rsidR="00A0748F" w:rsidRDefault="00A0748F" w:rsidP="00663381">
      <w:pPr>
        <w:spacing w:line="240" w:lineRule="auto"/>
        <w:ind w:left="-851"/>
        <w:rPr>
          <w:b/>
          <w:sz w:val="28"/>
          <w:szCs w:val="28"/>
        </w:rPr>
      </w:pPr>
    </w:p>
    <w:p w14:paraId="2D183EFE" w14:textId="77777777" w:rsidR="00A0748F" w:rsidRDefault="00A0748F" w:rsidP="00663381">
      <w:pPr>
        <w:spacing w:line="240" w:lineRule="auto"/>
        <w:ind w:left="-851"/>
        <w:rPr>
          <w:b/>
          <w:sz w:val="28"/>
          <w:szCs w:val="28"/>
        </w:rPr>
      </w:pPr>
    </w:p>
    <w:p w14:paraId="19578E84" w14:textId="77777777" w:rsidR="00A0748F" w:rsidRDefault="00A0748F" w:rsidP="00663381">
      <w:pPr>
        <w:spacing w:line="240" w:lineRule="auto"/>
        <w:ind w:left="-851"/>
        <w:rPr>
          <w:b/>
          <w:sz w:val="28"/>
          <w:szCs w:val="28"/>
        </w:rPr>
      </w:pPr>
    </w:p>
    <w:p w14:paraId="42E8E455" w14:textId="77777777" w:rsidR="00A0748F" w:rsidRDefault="00A0748F" w:rsidP="00663381">
      <w:pPr>
        <w:spacing w:line="240" w:lineRule="auto"/>
        <w:ind w:left="-851"/>
        <w:rPr>
          <w:b/>
          <w:sz w:val="28"/>
          <w:szCs w:val="28"/>
        </w:rPr>
      </w:pPr>
    </w:p>
    <w:p w14:paraId="5529038A" w14:textId="77777777" w:rsidR="00A0748F" w:rsidRDefault="00A0748F" w:rsidP="00663381">
      <w:pPr>
        <w:spacing w:line="240" w:lineRule="auto"/>
        <w:ind w:left="-851"/>
        <w:rPr>
          <w:b/>
          <w:sz w:val="28"/>
          <w:szCs w:val="28"/>
        </w:rPr>
      </w:pPr>
    </w:p>
    <w:p w14:paraId="54D125BA" w14:textId="77777777" w:rsidR="00A0748F" w:rsidRDefault="00A0748F" w:rsidP="00663381">
      <w:pPr>
        <w:spacing w:line="240" w:lineRule="auto"/>
        <w:ind w:left="-851"/>
        <w:rPr>
          <w:b/>
          <w:sz w:val="28"/>
          <w:szCs w:val="28"/>
        </w:rPr>
      </w:pPr>
    </w:p>
    <w:p w14:paraId="22463467" w14:textId="77777777" w:rsidR="00A0748F" w:rsidRDefault="00A0748F" w:rsidP="00663381">
      <w:pPr>
        <w:spacing w:line="240" w:lineRule="auto"/>
        <w:ind w:left="-851"/>
        <w:rPr>
          <w:b/>
          <w:sz w:val="28"/>
          <w:szCs w:val="28"/>
        </w:rPr>
      </w:pPr>
    </w:p>
    <w:p w14:paraId="2C384261" w14:textId="77777777" w:rsidR="00A0748F" w:rsidRDefault="00A0748F" w:rsidP="00663381">
      <w:pPr>
        <w:spacing w:line="240" w:lineRule="auto"/>
        <w:ind w:left="-851"/>
        <w:rPr>
          <w:b/>
          <w:sz w:val="28"/>
          <w:szCs w:val="28"/>
        </w:rPr>
      </w:pPr>
    </w:p>
    <w:p w14:paraId="06A8CFD4" w14:textId="77777777" w:rsidR="00164FEA" w:rsidRDefault="00164FEA" w:rsidP="00663381">
      <w:pPr>
        <w:spacing w:line="240" w:lineRule="auto"/>
        <w:ind w:left="-851"/>
        <w:rPr>
          <w:b/>
          <w:sz w:val="28"/>
          <w:szCs w:val="28"/>
        </w:rPr>
      </w:pPr>
    </w:p>
    <w:p w14:paraId="5ED9C4F0" w14:textId="77777777" w:rsidR="00164FEA" w:rsidRDefault="00164FEA" w:rsidP="00663381">
      <w:pPr>
        <w:spacing w:line="240" w:lineRule="auto"/>
        <w:ind w:left="-851"/>
        <w:rPr>
          <w:b/>
          <w:sz w:val="28"/>
          <w:szCs w:val="28"/>
        </w:rPr>
      </w:pPr>
    </w:p>
    <w:p w14:paraId="37813811" w14:textId="77777777" w:rsidR="00164FEA" w:rsidRDefault="00164FEA" w:rsidP="00663381">
      <w:pPr>
        <w:spacing w:line="240" w:lineRule="auto"/>
        <w:ind w:left="-851"/>
        <w:rPr>
          <w:b/>
          <w:sz w:val="28"/>
          <w:szCs w:val="28"/>
        </w:rPr>
      </w:pPr>
    </w:p>
    <w:sectPr w:rsidR="00164FE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1CD8" w14:textId="77777777" w:rsidR="00E30F85" w:rsidRDefault="00E30F85" w:rsidP="00410801">
      <w:pPr>
        <w:spacing w:after="0" w:line="240" w:lineRule="auto"/>
      </w:pPr>
      <w:r>
        <w:separator/>
      </w:r>
    </w:p>
  </w:endnote>
  <w:endnote w:type="continuationSeparator" w:id="0">
    <w:p w14:paraId="42223382" w14:textId="77777777" w:rsidR="00E30F85" w:rsidRDefault="00E30F85"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845C" w14:textId="77777777" w:rsidR="00E30F85" w:rsidRDefault="00E30F85" w:rsidP="00410801">
      <w:pPr>
        <w:spacing w:after="0" w:line="240" w:lineRule="auto"/>
      </w:pPr>
      <w:r>
        <w:separator/>
      </w:r>
    </w:p>
  </w:footnote>
  <w:footnote w:type="continuationSeparator" w:id="0">
    <w:p w14:paraId="3F3EFB4C" w14:textId="77777777" w:rsidR="00E30F85" w:rsidRDefault="00E30F85"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B52D2C"/>
    <w:multiLevelType w:val="hybridMultilevel"/>
    <w:tmpl w:val="386A967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5"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11757"/>
    <w:multiLevelType w:val="hybridMultilevel"/>
    <w:tmpl w:val="C4383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231B52"/>
    <w:multiLevelType w:val="hybridMultilevel"/>
    <w:tmpl w:val="A8DC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FD4"/>
    <w:multiLevelType w:val="hybridMultilevel"/>
    <w:tmpl w:val="97C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21"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5"/>
  </w:num>
  <w:num w:numId="2" w16cid:durableId="2014259173">
    <w:abstractNumId w:val="18"/>
  </w:num>
  <w:num w:numId="3" w16cid:durableId="1593122341">
    <w:abstractNumId w:val="26"/>
  </w:num>
  <w:num w:numId="4" w16cid:durableId="170680347">
    <w:abstractNumId w:val="11"/>
  </w:num>
  <w:num w:numId="5" w16cid:durableId="217976667">
    <w:abstractNumId w:val="1"/>
  </w:num>
  <w:num w:numId="6" w16cid:durableId="1263802586">
    <w:abstractNumId w:val="5"/>
  </w:num>
  <w:num w:numId="7" w16cid:durableId="1346639340">
    <w:abstractNumId w:val="21"/>
  </w:num>
  <w:num w:numId="8" w16cid:durableId="1285576714">
    <w:abstractNumId w:val="9"/>
  </w:num>
  <w:num w:numId="9" w16cid:durableId="542643113">
    <w:abstractNumId w:val="20"/>
  </w:num>
  <w:num w:numId="10" w16cid:durableId="1145970467">
    <w:abstractNumId w:val="23"/>
  </w:num>
  <w:num w:numId="11" w16cid:durableId="2055810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4"/>
  </w:num>
  <w:num w:numId="15" w16cid:durableId="62928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9"/>
  </w:num>
  <w:num w:numId="18" w16cid:durableId="608049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7"/>
  </w:num>
  <w:num w:numId="21" w16cid:durableId="136991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8"/>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0"/>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7"/>
  </w:num>
  <w:num w:numId="26" w16cid:durableId="509491037">
    <w:abstractNumId w:val="6"/>
  </w:num>
  <w:num w:numId="27" w16cid:durableId="726297315">
    <w:abstractNumId w:val="16"/>
  </w:num>
  <w:num w:numId="28" w16cid:durableId="2028558629">
    <w:abstractNumId w:val="15"/>
  </w:num>
  <w:num w:numId="29" w16cid:durableId="1189761090">
    <w:abstractNumId w:val="4"/>
  </w:num>
  <w:num w:numId="30" w16cid:durableId="1019232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13CE"/>
    <w:rsid w:val="00032A3E"/>
    <w:rsid w:val="00043D24"/>
    <w:rsid w:val="00052708"/>
    <w:rsid w:val="0005323D"/>
    <w:rsid w:val="00053BAF"/>
    <w:rsid w:val="00055709"/>
    <w:rsid w:val="00060E3A"/>
    <w:rsid w:val="0006168B"/>
    <w:rsid w:val="000645D6"/>
    <w:rsid w:val="00067C26"/>
    <w:rsid w:val="00081E58"/>
    <w:rsid w:val="00093308"/>
    <w:rsid w:val="000955C6"/>
    <w:rsid w:val="000A0EAF"/>
    <w:rsid w:val="000A5A98"/>
    <w:rsid w:val="000B3A37"/>
    <w:rsid w:val="000C02A3"/>
    <w:rsid w:val="000C06BF"/>
    <w:rsid w:val="000D0C7B"/>
    <w:rsid w:val="000D27D4"/>
    <w:rsid w:val="000D4392"/>
    <w:rsid w:val="000F5F53"/>
    <w:rsid w:val="000F7240"/>
    <w:rsid w:val="000F7CFC"/>
    <w:rsid w:val="00106733"/>
    <w:rsid w:val="001120DB"/>
    <w:rsid w:val="00112A07"/>
    <w:rsid w:val="00120BC9"/>
    <w:rsid w:val="001225BF"/>
    <w:rsid w:val="00137F2B"/>
    <w:rsid w:val="00151ADF"/>
    <w:rsid w:val="00163025"/>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62D3"/>
    <w:rsid w:val="0024529C"/>
    <w:rsid w:val="00250747"/>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0BF5"/>
    <w:rsid w:val="002A1D45"/>
    <w:rsid w:val="002A4521"/>
    <w:rsid w:val="002A4922"/>
    <w:rsid w:val="002B1B62"/>
    <w:rsid w:val="002B2664"/>
    <w:rsid w:val="002C36BB"/>
    <w:rsid w:val="002C6CF2"/>
    <w:rsid w:val="002D545D"/>
    <w:rsid w:val="002D598F"/>
    <w:rsid w:val="002D5A7D"/>
    <w:rsid w:val="002D65EE"/>
    <w:rsid w:val="002F01E9"/>
    <w:rsid w:val="002F3E16"/>
    <w:rsid w:val="002F4105"/>
    <w:rsid w:val="00302CC9"/>
    <w:rsid w:val="00304A31"/>
    <w:rsid w:val="003067F5"/>
    <w:rsid w:val="00306B5C"/>
    <w:rsid w:val="00307DCE"/>
    <w:rsid w:val="00313D84"/>
    <w:rsid w:val="00326CF4"/>
    <w:rsid w:val="00327D27"/>
    <w:rsid w:val="00333FC2"/>
    <w:rsid w:val="00341112"/>
    <w:rsid w:val="00342F90"/>
    <w:rsid w:val="003528B8"/>
    <w:rsid w:val="003550CC"/>
    <w:rsid w:val="0036010E"/>
    <w:rsid w:val="00360BC9"/>
    <w:rsid w:val="00361195"/>
    <w:rsid w:val="0037088B"/>
    <w:rsid w:val="00380FA9"/>
    <w:rsid w:val="0038179E"/>
    <w:rsid w:val="00386835"/>
    <w:rsid w:val="003872ED"/>
    <w:rsid w:val="003900BD"/>
    <w:rsid w:val="00391AE7"/>
    <w:rsid w:val="003950F3"/>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45439"/>
    <w:rsid w:val="0045586D"/>
    <w:rsid w:val="00455D84"/>
    <w:rsid w:val="004575AC"/>
    <w:rsid w:val="004958F2"/>
    <w:rsid w:val="004A1E7F"/>
    <w:rsid w:val="004B03D7"/>
    <w:rsid w:val="004B46E7"/>
    <w:rsid w:val="004B53D4"/>
    <w:rsid w:val="004C1F01"/>
    <w:rsid w:val="004C6789"/>
    <w:rsid w:val="004D18CA"/>
    <w:rsid w:val="004D2531"/>
    <w:rsid w:val="004D2EF3"/>
    <w:rsid w:val="004D44AA"/>
    <w:rsid w:val="004D6C46"/>
    <w:rsid w:val="004E1F05"/>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6EE5"/>
    <w:rsid w:val="0059735E"/>
    <w:rsid w:val="005C3FBA"/>
    <w:rsid w:val="005C4A97"/>
    <w:rsid w:val="005C73D4"/>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9B6"/>
    <w:rsid w:val="00662AA9"/>
    <w:rsid w:val="00663381"/>
    <w:rsid w:val="00667E7A"/>
    <w:rsid w:val="00672756"/>
    <w:rsid w:val="006801AC"/>
    <w:rsid w:val="00686D15"/>
    <w:rsid w:val="006940B2"/>
    <w:rsid w:val="0069480B"/>
    <w:rsid w:val="0069563E"/>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1EB3"/>
    <w:rsid w:val="006F3486"/>
    <w:rsid w:val="006F5AB9"/>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2F4D"/>
    <w:rsid w:val="00776BB6"/>
    <w:rsid w:val="00776D76"/>
    <w:rsid w:val="0077773A"/>
    <w:rsid w:val="00782490"/>
    <w:rsid w:val="007A1413"/>
    <w:rsid w:val="007B32F4"/>
    <w:rsid w:val="007B3A82"/>
    <w:rsid w:val="007B7F65"/>
    <w:rsid w:val="007C79A5"/>
    <w:rsid w:val="007D3CCA"/>
    <w:rsid w:val="007D7138"/>
    <w:rsid w:val="007E1D3C"/>
    <w:rsid w:val="007E4206"/>
    <w:rsid w:val="007F2443"/>
    <w:rsid w:val="00807E24"/>
    <w:rsid w:val="008174F4"/>
    <w:rsid w:val="008176F7"/>
    <w:rsid w:val="008202B1"/>
    <w:rsid w:val="00823B34"/>
    <w:rsid w:val="00831D14"/>
    <w:rsid w:val="00831D8F"/>
    <w:rsid w:val="00835C24"/>
    <w:rsid w:val="0083608E"/>
    <w:rsid w:val="00844792"/>
    <w:rsid w:val="008449ED"/>
    <w:rsid w:val="008463BE"/>
    <w:rsid w:val="0084675C"/>
    <w:rsid w:val="0085249E"/>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E4C08"/>
    <w:rsid w:val="008F080B"/>
    <w:rsid w:val="008F22C8"/>
    <w:rsid w:val="008F299A"/>
    <w:rsid w:val="008F7A3B"/>
    <w:rsid w:val="009014D8"/>
    <w:rsid w:val="00903D13"/>
    <w:rsid w:val="009141A3"/>
    <w:rsid w:val="00914802"/>
    <w:rsid w:val="00914AA2"/>
    <w:rsid w:val="00917932"/>
    <w:rsid w:val="00921451"/>
    <w:rsid w:val="00921D90"/>
    <w:rsid w:val="00921FCA"/>
    <w:rsid w:val="00925511"/>
    <w:rsid w:val="00926198"/>
    <w:rsid w:val="00926A26"/>
    <w:rsid w:val="0093025B"/>
    <w:rsid w:val="00930804"/>
    <w:rsid w:val="00934F71"/>
    <w:rsid w:val="009425B2"/>
    <w:rsid w:val="0094472F"/>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5FD"/>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002E"/>
    <w:rsid w:val="00AC1807"/>
    <w:rsid w:val="00AC2AC2"/>
    <w:rsid w:val="00AC30C0"/>
    <w:rsid w:val="00AC38A0"/>
    <w:rsid w:val="00AC5124"/>
    <w:rsid w:val="00AC72CA"/>
    <w:rsid w:val="00AD26CE"/>
    <w:rsid w:val="00AE6C9E"/>
    <w:rsid w:val="00AF09B3"/>
    <w:rsid w:val="00AF45EB"/>
    <w:rsid w:val="00B0102A"/>
    <w:rsid w:val="00B067C0"/>
    <w:rsid w:val="00B27F0C"/>
    <w:rsid w:val="00B30901"/>
    <w:rsid w:val="00B329A1"/>
    <w:rsid w:val="00B32B4C"/>
    <w:rsid w:val="00B33D1D"/>
    <w:rsid w:val="00B34649"/>
    <w:rsid w:val="00B35D3C"/>
    <w:rsid w:val="00B3693C"/>
    <w:rsid w:val="00B43549"/>
    <w:rsid w:val="00B50C14"/>
    <w:rsid w:val="00B53425"/>
    <w:rsid w:val="00B547EA"/>
    <w:rsid w:val="00B56A2B"/>
    <w:rsid w:val="00B64F5C"/>
    <w:rsid w:val="00B6552C"/>
    <w:rsid w:val="00B7285B"/>
    <w:rsid w:val="00B81389"/>
    <w:rsid w:val="00B83560"/>
    <w:rsid w:val="00B84790"/>
    <w:rsid w:val="00B85AA3"/>
    <w:rsid w:val="00B86E7B"/>
    <w:rsid w:val="00B969A7"/>
    <w:rsid w:val="00BA7F6F"/>
    <w:rsid w:val="00BB03F7"/>
    <w:rsid w:val="00BB5A18"/>
    <w:rsid w:val="00BB6DEC"/>
    <w:rsid w:val="00BB7FA1"/>
    <w:rsid w:val="00BC568B"/>
    <w:rsid w:val="00BD0FFE"/>
    <w:rsid w:val="00BD222D"/>
    <w:rsid w:val="00BD499F"/>
    <w:rsid w:val="00BE14CD"/>
    <w:rsid w:val="00BF5E0A"/>
    <w:rsid w:val="00BF6803"/>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551"/>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57B2D"/>
    <w:rsid w:val="00D63F33"/>
    <w:rsid w:val="00D64756"/>
    <w:rsid w:val="00D649D0"/>
    <w:rsid w:val="00D86D6C"/>
    <w:rsid w:val="00D86E8A"/>
    <w:rsid w:val="00D90CDB"/>
    <w:rsid w:val="00D947E7"/>
    <w:rsid w:val="00D95909"/>
    <w:rsid w:val="00DA73C5"/>
    <w:rsid w:val="00DB12C0"/>
    <w:rsid w:val="00DC162C"/>
    <w:rsid w:val="00DC468B"/>
    <w:rsid w:val="00DD30E0"/>
    <w:rsid w:val="00DD34B7"/>
    <w:rsid w:val="00DE6721"/>
    <w:rsid w:val="00DF5237"/>
    <w:rsid w:val="00E0240A"/>
    <w:rsid w:val="00E028FE"/>
    <w:rsid w:val="00E05567"/>
    <w:rsid w:val="00E05849"/>
    <w:rsid w:val="00E10E41"/>
    <w:rsid w:val="00E125B7"/>
    <w:rsid w:val="00E23825"/>
    <w:rsid w:val="00E27609"/>
    <w:rsid w:val="00E30F85"/>
    <w:rsid w:val="00E31A28"/>
    <w:rsid w:val="00E33905"/>
    <w:rsid w:val="00E361CD"/>
    <w:rsid w:val="00E36AAF"/>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20C5"/>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44713838">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45188157">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2071/evidence/full-guideline-pdf-453846625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7674</Words>
  <Characters>43746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2026-02-18T15:42:00Z</dcterms:created>
  <dcterms:modified xsi:type="dcterms:W3CDTF">2026-02-18T15:42:00Z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