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55998CD4"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6F657A">
        <w:rPr>
          <w:b/>
          <w:sz w:val="24"/>
        </w:rPr>
        <w:t>February 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bookmarkStart w:id="1" w:name="_Hlk98487819"/>
      <w:bookmarkStart w:id="2" w:name="_Hlk99007289"/>
      <w:bookmarkStart w:id="3" w:name="_Hlk99089999"/>
      <w:bookmarkStart w:id="4" w:name="_Hlk113959213"/>
      <w:bookmarkStart w:id="5" w:name="_Hlk113959882"/>
      <w:bookmarkStart w:id="6" w:name="_Hlk113960626"/>
      <w:tr w:rsidR="00F87A2B" w:rsidRPr="00F91ECD" w14:paraId="7DFF35A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FA333" w14:textId="77FFE10E" w:rsidR="00F87A2B" w:rsidRDefault="00B56D7C" w:rsidP="00CC4BE0">
            <w:r>
              <w:fldChar w:fldCharType="begin"/>
            </w:r>
            <w:r>
              <w:instrText>HYPERLINK \l "_2122-0054_Duncan_Buchanan"</w:instrText>
            </w:r>
            <w:r>
              <w:fldChar w:fldCharType="separate"/>
            </w:r>
            <w:r w:rsidR="00620558" w:rsidRPr="00662AA9">
              <w:rPr>
                <w:rStyle w:val="Hyperlink"/>
              </w:rPr>
              <w:t>2122-0054</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584254E3" w14:textId="77777777" w:rsidR="00F87A2B" w:rsidRDefault="00F87A2B" w:rsidP="006A2BCA">
            <w:pPr>
              <w:autoSpaceDE w:val="0"/>
              <w:autoSpaceDN w:val="0"/>
              <w:adjustRightInd w:val="0"/>
              <w:spacing w:after="0" w:line="240" w:lineRule="auto"/>
              <w:jc w:val="center"/>
              <w:rPr>
                <w:lang w:eastAsia="en-GB"/>
              </w:rPr>
            </w:pPr>
          </w:p>
          <w:p w14:paraId="7464A04F" w14:textId="3F59B953" w:rsidR="00A73F76" w:rsidRDefault="0059735E" w:rsidP="006A2BCA">
            <w:pPr>
              <w:autoSpaceDE w:val="0"/>
              <w:autoSpaceDN w:val="0"/>
              <w:adjustRightInd w:val="0"/>
              <w:spacing w:after="0" w:line="240" w:lineRule="auto"/>
              <w:jc w:val="center"/>
              <w:rPr>
                <w:lang w:eastAsia="en-GB"/>
              </w:rPr>
            </w:pPr>
            <w:r w:rsidRPr="0059735E">
              <w:rPr>
                <w:lang w:eastAsia="en-GB"/>
              </w:rPr>
              <w:t>Duncan Buchanan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366ED29" w14:textId="15AF13AD" w:rsidR="00F87A2B" w:rsidRPr="00776BB6" w:rsidRDefault="00430FBE" w:rsidP="000D27D4">
            <w:pPr>
              <w:pStyle w:val="NoSpacing"/>
            </w:pPr>
            <w:r w:rsidRPr="00430FBE">
              <w:t>Research Data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EA51E7A" w14:textId="19E91286" w:rsidR="00F87A2B" w:rsidRPr="00416CE1" w:rsidRDefault="00E961FE" w:rsidP="00C17110">
            <w:pPr>
              <w:tabs>
                <w:tab w:val="left" w:pos="720"/>
                <w:tab w:val="left" w:pos="1440"/>
                <w:tab w:val="left" w:pos="2160"/>
                <w:tab w:val="left" w:pos="2880"/>
                <w:tab w:val="left" w:pos="4680"/>
                <w:tab w:val="left" w:pos="5400"/>
                <w:tab w:val="right" w:pos="9000"/>
              </w:tabs>
              <w:spacing w:after="0" w:line="360" w:lineRule="auto"/>
            </w:pPr>
            <w:r w:rsidRPr="00E961FE">
              <w:t>Equality Protected Characteristics Dataset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DA9868C" w14:textId="77777777" w:rsidR="00F87A2B" w:rsidRDefault="00F87A2B" w:rsidP="006A2BCA">
            <w:pPr>
              <w:autoSpaceDE w:val="0"/>
              <w:autoSpaceDN w:val="0"/>
              <w:adjustRightInd w:val="0"/>
              <w:spacing w:after="0" w:line="240" w:lineRule="auto"/>
              <w:rPr>
                <w:rFonts w:cs="Arial"/>
                <w:color w:val="000000"/>
                <w:sz w:val="24"/>
                <w:szCs w:val="24"/>
              </w:rPr>
            </w:pPr>
          </w:p>
          <w:p w14:paraId="0F8F0D55" w14:textId="70A79AE4" w:rsidR="00E961FE" w:rsidRDefault="00BF5E0A" w:rsidP="006A2BCA">
            <w:pPr>
              <w:autoSpaceDE w:val="0"/>
              <w:autoSpaceDN w:val="0"/>
              <w:adjustRightInd w:val="0"/>
              <w:spacing w:after="0" w:line="240" w:lineRule="auto"/>
              <w:rPr>
                <w:rFonts w:cs="Arial"/>
                <w:color w:val="000000"/>
                <w:sz w:val="24"/>
                <w:szCs w:val="24"/>
              </w:rPr>
            </w:pPr>
            <w:r>
              <w:rPr>
                <w:rFonts w:cs="Arial"/>
                <w:color w:val="000000"/>
                <w:sz w:val="24"/>
                <w:szCs w:val="24"/>
              </w:rPr>
              <w:t>10/06/2020</w:t>
            </w:r>
          </w:p>
        </w:tc>
      </w:tr>
      <w:bookmarkStart w:id="7" w:name="_Hlk126054189"/>
      <w:tr w:rsidR="00662AA9" w:rsidRPr="00F91ECD" w14:paraId="4887E86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C2A58" w14:textId="5581CD29" w:rsidR="00662AA9" w:rsidRDefault="0083608E" w:rsidP="00CC4BE0">
            <w:r>
              <w:fldChar w:fldCharType="begin"/>
            </w:r>
            <w:r>
              <w:instrText xml:space="preserve"> HYPERLINK  \l "_2122-0018_Anna_Santarsieri" </w:instrText>
            </w:r>
            <w:r>
              <w:fldChar w:fldCharType="separate"/>
            </w:r>
            <w:r w:rsidR="00FF7D65" w:rsidRPr="0083608E">
              <w:rPr>
                <w:rStyle w:val="Hyperlink"/>
              </w:rPr>
              <w:t>2122-0018</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22415EC" w14:textId="77777777" w:rsidR="00662AA9" w:rsidRDefault="00662AA9" w:rsidP="006A2BCA">
            <w:pPr>
              <w:autoSpaceDE w:val="0"/>
              <w:autoSpaceDN w:val="0"/>
              <w:adjustRightInd w:val="0"/>
              <w:spacing w:after="0" w:line="240" w:lineRule="auto"/>
              <w:jc w:val="center"/>
              <w:rPr>
                <w:lang w:eastAsia="en-GB"/>
              </w:rPr>
            </w:pPr>
          </w:p>
          <w:p w14:paraId="46413840" w14:textId="54B9D2BF" w:rsidR="00FF7D65" w:rsidRDefault="00926A26" w:rsidP="006A2BCA">
            <w:pPr>
              <w:autoSpaceDE w:val="0"/>
              <w:autoSpaceDN w:val="0"/>
              <w:adjustRightInd w:val="0"/>
              <w:spacing w:after="0" w:line="240" w:lineRule="auto"/>
              <w:jc w:val="center"/>
              <w:rPr>
                <w:lang w:eastAsia="en-GB"/>
              </w:rPr>
            </w:pPr>
            <w:r w:rsidRPr="00926A26">
              <w:rPr>
                <w:lang w:eastAsia="en-GB"/>
              </w:rPr>
              <w:t>Anna Santarsieri</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F17D7A0" w14:textId="48F3A07D" w:rsidR="00662AA9" w:rsidRPr="00430FBE" w:rsidRDefault="002B1B62" w:rsidP="000D27D4">
            <w:pPr>
              <w:pStyle w:val="NoSpacing"/>
            </w:pPr>
            <w:r w:rsidRPr="002B1B62">
              <w:t>Cambridge University Hospitals NHS Foundation Trust</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0B7EFF0" w14:textId="343290DC" w:rsidR="00662AA9" w:rsidRPr="00E961FE" w:rsidRDefault="009F69C2" w:rsidP="00C17110">
            <w:pPr>
              <w:tabs>
                <w:tab w:val="left" w:pos="720"/>
                <w:tab w:val="left" w:pos="1440"/>
                <w:tab w:val="left" w:pos="2160"/>
                <w:tab w:val="left" w:pos="2880"/>
                <w:tab w:val="left" w:pos="4680"/>
                <w:tab w:val="left" w:pos="5400"/>
                <w:tab w:val="right" w:pos="9000"/>
              </w:tabs>
              <w:spacing w:after="0" w:line="360" w:lineRule="auto"/>
            </w:pPr>
            <w:r w:rsidRPr="009F69C2">
              <w:t>Toxicities and strategies to reduce them in blood cancer patients treated in the non-trial setting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437914A" w14:textId="77777777" w:rsidR="00662AA9" w:rsidRDefault="00662AA9" w:rsidP="006A2BCA">
            <w:pPr>
              <w:autoSpaceDE w:val="0"/>
              <w:autoSpaceDN w:val="0"/>
              <w:adjustRightInd w:val="0"/>
              <w:spacing w:after="0" w:line="240" w:lineRule="auto"/>
              <w:rPr>
                <w:rFonts w:cs="Arial"/>
                <w:color w:val="000000"/>
                <w:sz w:val="24"/>
                <w:szCs w:val="24"/>
              </w:rPr>
            </w:pPr>
          </w:p>
          <w:p w14:paraId="0B7CA9B9" w14:textId="327595C5" w:rsidR="009F69C2" w:rsidRDefault="008852CC" w:rsidP="006A2BCA">
            <w:pPr>
              <w:autoSpaceDE w:val="0"/>
              <w:autoSpaceDN w:val="0"/>
              <w:adjustRightInd w:val="0"/>
              <w:spacing w:after="0" w:line="240" w:lineRule="auto"/>
              <w:rPr>
                <w:rFonts w:cs="Arial"/>
                <w:color w:val="000000"/>
                <w:sz w:val="24"/>
                <w:szCs w:val="24"/>
              </w:rPr>
            </w:pPr>
            <w:r>
              <w:rPr>
                <w:rFonts w:cs="Arial"/>
                <w:color w:val="000000"/>
                <w:sz w:val="24"/>
                <w:szCs w:val="24"/>
              </w:rPr>
              <w:t>12/08/2021</w:t>
            </w:r>
          </w:p>
        </w:tc>
      </w:tr>
      <w:tr w:rsidR="00D53B63" w:rsidRPr="00F91ECD" w14:paraId="5882F30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3EAD6" w14:textId="30634161" w:rsidR="00D53B63" w:rsidRDefault="00D53B63" w:rsidP="00CC4BE0">
            <w:hyperlink w:anchor="_2122-0225_Dr._Holly" w:history="1">
              <w:r w:rsidRPr="00D53B63">
                <w:rPr>
                  <w:rStyle w:val="Hyperlink"/>
                </w:rPr>
                <w:t>2122-0225</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A376392" w14:textId="77777777" w:rsidR="00D53B63" w:rsidRDefault="00D53B63" w:rsidP="006A2BCA">
            <w:pPr>
              <w:autoSpaceDE w:val="0"/>
              <w:autoSpaceDN w:val="0"/>
              <w:adjustRightInd w:val="0"/>
              <w:spacing w:after="0" w:line="240" w:lineRule="auto"/>
              <w:jc w:val="center"/>
              <w:rPr>
                <w:lang w:eastAsia="en-GB"/>
              </w:rPr>
            </w:pPr>
          </w:p>
          <w:p w14:paraId="3004E976" w14:textId="1B6F83FF" w:rsidR="00D53B63" w:rsidRDefault="00D53B63" w:rsidP="006A2BCA">
            <w:pPr>
              <w:autoSpaceDE w:val="0"/>
              <w:autoSpaceDN w:val="0"/>
              <w:adjustRightInd w:val="0"/>
              <w:spacing w:after="0" w:line="240" w:lineRule="auto"/>
              <w:jc w:val="center"/>
              <w:rPr>
                <w:lang w:eastAsia="en-GB"/>
              </w:rPr>
            </w:pPr>
            <w:r w:rsidRPr="00D53B63">
              <w:rPr>
                <w:lang w:eastAsia="en-GB"/>
              </w:rPr>
              <w:t>Dr. Holly Marissa Tibble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77D25EA" w14:textId="01A87953" w:rsidR="00D53B63" w:rsidRPr="002B1B62" w:rsidRDefault="00D53B63" w:rsidP="000D27D4">
            <w:pPr>
              <w:pStyle w:val="NoSpacing"/>
            </w:pPr>
            <w:r w:rsidRPr="00D53B63">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72457E1" w14:textId="3F185C3C" w:rsidR="00D53B63" w:rsidRPr="009F69C2" w:rsidRDefault="00D53B63" w:rsidP="00C17110">
            <w:pPr>
              <w:tabs>
                <w:tab w:val="left" w:pos="720"/>
                <w:tab w:val="left" w:pos="1440"/>
                <w:tab w:val="left" w:pos="2160"/>
                <w:tab w:val="left" w:pos="2880"/>
                <w:tab w:val="left" w:pos="4680"/>
                <w:tab w:val="left" w:pos="5400"/>
                <w:tab w:val="right" w:pos="9000"/>
              </w:tabs>
              <w:spacing w:after="0" w:line="360" w:lineRule="auto"/>
            </w:pPr>
            <w:r w:rsidRPr="00D53B63">
              <w:t>Short-Term Adult Asthma Attack Prediction using Electronic Health Record Data in the Primary Care Setting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9ABBA27" w14:textId="77777777" w:rsidR="00D53B63" w:rsidRDefault="00D53B63" w:rsidP="006A2BCA">
            <w:pPr>
              <w:autoSpaceDE w:val="0"/>
              <w:autoSpaceDN w:val="0"/>
              <w:adjustRightInd w:val="0"/>
              <w:spacing w:after="0" w:line="240" w:lineRule="auto"/>
              <w:rPr>
                <w:rFonts w:cs="Arial"/>
                <w:color w:val="000000"/>
                <w:sz w:val="24"/>
                <w:szCs w:val="24"/>
              </w:rPr>
            </w:pPr>
          </w:p>
          <w:p w14:paraId="384C0C5C" w14:textId="5845A945" w:rsidR="00D53B63" w:rsidRDefault="00D53B63" w:rsidP="006A2BCA">
            <w:pPr>
              <w:autoSpaceDE w:val="0"/>
              <w:autoSpaceDN w:val="0"/>
              <w:adjustRightInd w:val="0"/>
              <w:spacing w:after="0" w:line="240" w:lineRule="auto"/>
              <w:rPr>
                <w:rFonts w:cs="Arial"/>
                <w:color w:val="000000"/>
                <w:sz w:val="24"/>
                <w:szCs w:val="24"/>
              </w:rPr>
            </w:pPr>
            <w:r>
              <w:rPr>
                <w:rFonts w:cs="Arial"/>
                <w:color w:val="000000"/>
                <w:sz w:val="24"/>
                <w:szCs w:val="24"/>
              </w:rPr>
              <w:t>11/06/2022</w:t>
            </w:r>
          </w:p>
        </w:tc>
      </w:tr>
      <w:tr w:rsidR="00EE54ED" w:rsidRPr="00F91ECD" w14:paraId="229BBBB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69D25" w14:textId="6DB9A50F" w:rsidR="00EE54ED" w:rsidRDefault="00A73FEA" w:rsidP="00CC4BE0">
            <w:hyperlink w:anchor="_2122-0132_Michelle_Oliver" w:history="1">
              <w:r w:rsidRPr="00A73FEA">
                <w:rPr>
                  <w:rStyle w:val="Hyperlink"/>
                </w:rPr>
                <w:t>2122-0132</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63A5B9A8" w14:textId="77777777" w:rsidR="00EE54ED" w:rsidRDefault="00EE54ED" w:rsidP="006A2BCA">
            <w:pPr>
              <w:autoSpaceDE w:val="0"/>
              <w:autoSpaceDN w:val="0"/>
              <w:adjustRightInd w:val="0"/>
              <w:spacing w:after="0" w:line="240" w:lineRule="auto"/>
              <w:jc w:val="center"/>
              <w:rPr>
                <w:lang w:eastAsia="en-GB"/>
              </w:rPr>
            </w:pPr>
          </w:p>
          <w:p w14:paraId="014749A5" w14:textId="3A72CAE0" w:rsidR="00A73FEA" w:rsidRDefault="00A73FEA" w:rsidP="006A2BCA">
            <w:pPr>
              <w:autoSpaceDE w:val="0"/>
              <w:autoSpaceDN w:val="0"/>
              <w:adjustRightInd w:val="0"/>
              <w:spacing w:after="0" w:line="240" w:lineRule="auto"/>
              <w:jc w:val="center"/>
              <w:rPr>
                <w:lang w:eastAsia="en-GB"/>
              </w:rPr>
            </w:pPr>
            <w:r w:rsidRPr="00A73FEA">
              <w:rPr>
                <w:lang w:eastAsia="en-GB"/>
              </w:rPr>
              <w:t>Michelle Oliver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6E0F113" w14:textId="39743ACA" w:rsidR="00EE54ED" w:rsidRPr="00D53B63" w:rsidRDefault="00A73FEA" w:rsidP="000D27D4">
            <w:pPr>
              <w:pStyle w:val="NoSpacing"/>
            </w:pPr>
            <w:r>
              <w:t>NHS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E8D1DDF" w14:textId="0C85E8B9" w:rsidR="00EE54ED" w:rsidRPr="00D53B63" w:rsidRDefault="00A73FEA" w:rsidP="00C17110">
            <w:pPr>
              <w:tabs>
                <w:tab w:val="left" w:pos="720"/>
                <w:tab w:val="left" w:pos="1440"/>
                <w:tab w:val="left" w:pos="2160"/>
                <w:tab w:val="left" w:pos="2880"/>
                <w:tab w:val="left" w:pos="4680"/>
                <w:tab w:val="left" w:pos="5400"/>
                <w:tab w:val="right" w:pos="9000"/>
              </w:tabs>
              <w:spacing w:after="0" w:line="360" w:lineRule="auto"/>
            </w:pPr>
            <w:r w:rsidRPr="00A73FEA">
              <w:t>An exploration of the experiences of identity and resilience in adolescents assigned female at birth (AFAB) with Autism Spectrum Disorder (ASD) and Gender Dysphoria (GD) who have not surgically transitioned: An Interpretative phenomenological analysis (IPA)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6BFAEA5" w14:textId="6AFC0864" w:rsidR="00EE54ED" w:rsidRDefault="00EE54ED" w:rsidP="006A2BCA">
            <w:pPr>
              <w:autoSpaceDE w:val="0"/>
              <w:autoSpaceDN w:val="0"/>
              <w:adjustRightInd w:val="0"/>
              <w:spacing w:after="0" w:line="240" w:lineRule="auto"/>
              <w:rPr>
                <w:rFonts w:cs="Arial"/>
                <w:color w:val="000000"/>
                <w:sz w:val="24"/>
                <w:szCs w:val="24"/>
              </w:rPr>
            </w:pPr>
          </w:p>
        </w:tc>
      </w:tr>
      <w:bookmarkStart w:id="8" w:name="_Hlk206590469"/>
      <w:tr w:rsidR="00A73FEA" w:rsidRPr="00F91ECD" w14:paraId="0E0FAA5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6DD57" w14:textId="062E82BC" w:rsidR="00A73FEA" w:rsidRDefault="00A73FEA" w:rsidP="00CC4BE0">
            <w:r>
              <w:fldChar w:fldCharType="begin"/>
            </w:r>
            <w:r>
              <w:instrText>HYPERLINK  \l "_2122-0197_Lucy_Cureton"</w:instrText>
            </w:r>
            <w:r>
              <w:fldChar w:fldCharType="separate"/>
            </w:r>
            <w:r w:rsidRPr="00A73FEA">
              <w:rPr>
                <w:rStyle w:val="Hyperlink"/>
              </w:rPr>
              <w:t>2122-0197</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E803EF2" w14:textId="77777777" w:rsidR="00A73FEA" w:rsidRDefault="00A73FEA" w:rsidP="006A2BCA">
            <w:pPr>
              <w:autoSpaceDE w:val="0"/>
              <w:autoSpaceDN w:val="0"/>
              <w:adjustRightInd w:val="0"/>
              <w:spacing w:after="0" w:line="240" w:lineRule="auto"/>
              <w:jc w:val="center"/>
              <w:rPr>
                <w:lang w:eastAsia="en-GB"/>
              </w:rPr>
            </w:pPr>
          </w:p>
          <w:p w14:paraId="1606281A" w14:textId="68421080" w:rsidR="00A73FEA" w:rsidRDefault="00A73FEA" w:rsidP="006A2BCA">
            <w:pPr>
              <w:autoSpaceDE w:val="0"/>
              <w:autoSpaceDN w:val="0"/>
              <w:adjustRightInd w:val="0"/>
              <w:spacing w:after="0" w:line="240" w:lineRule="auto"/>
              <w:jc w:val="center"/>
              <w:rPr>
                <w:lang w:eastAsia="en-GB"/>
              </w:rPr>
            </w:pPr>
            <w:r w:rsidRPr="00A73FEA">
              <w:rPr>
                <w:lang w:eastAsia="en-GB"/>
              </w:rPr>
              <w:t>Lucy Cureton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53D2A97" w14:textId="41D54764" w:rsidR="00A73FEA" w:rsidRDefault="00A73FEA" w:rsidP="000D27D4">
            <w:pPr>
              <w:pStyle w:val="NoSpacing"/>
            </w:pPr>
            <w:r w:rsidRPr="00A73FEA">
              <w:t>Primary Care Clinical Trials Unit, 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6979EBA" w14:textId="358936CC" w:rsidR="00A73FEA" w:rsidRPr="00A73FEA" w:rsidRDefault="00A73FEA" w:rsidP="00C17110">
            <w:pPr>
              <w:tabs>
                <w:tab w:val="left" w:pos="720"/>
                <w:tab w:val="left" w:pos="1440"/>
                <w:tab w:val="left" w:pos="2160"/>
                <w:tab w:val="left" w:pos="2880"/>
                <w:tab w:val="left" w:pos="4680"/>
                <w:tab w:val="left" w:pos="5400"/>
                <w:tab w:val="right" w:pos="9000"/>
              </w:tabs>
              <w:spacing w:after="0" w:line="360" w:lineRule="auto"/>
            </w:pPr>
            <w:r w:rsidRPr="00A73FEA">
              <w:t>PANORAMIC</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1B0FE11" w14:textId="77777777" w:rsidR="00A73FEA" w:rsidRDefault="00A73FEA" w:rsidP="006A2BCA">
            <w:pPr>
              <w:autoSpaceDE w:val="0"/>
              <w:autoSpaceDN w:val="0"/>
              <w:adjustRightInd w:val="0"/>
              <w:spacing w:after="0" w:line="240" w:lineRule="auto"/>
              <w:rPr>
                <w:rFonts w:cs="Arial"/>
                <w:color w:val="000000"/>
                <w:sz w:val="24"/>
                <w:szCs w:val="24"/>
              </w:rPr>
            </w:pPr>
          </w:p>
        </w:tc>
      </w:tr>
      <w:bookmarkStart w:id="9" w:name="_Hlk206590635"/>
      <w:tr w:rsidR="00A73FEA" w:rsidRPr="00F91ECD" w14:paraId="43B267B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B4B55" w14:textId="125201C5" w:rsidR="00A73FEA" w:rsidRDefault="00A73FEA" w:rsidP="00CC4BE0">
            <w:r>
              <w:lastRenderedPageBreak/>
              <w:fldChar w:fldCharType="begin"/>
            </w:r>
            <w:r>
              <w:instrText>HYPERLINK  \l "_2122-0102_Ms_Jan"</w:instrText>
            </w:r>
            <w:r>
              <w:fldChar w:fldCharType="separate"/>
            </w:r>
            <w:r w:rsidRPr="00A73FEA">
              <w:rPr>
                <w:rStyle w:val="Hyperlink"/>
              </w:rPr>
              <w:t>2122-0102</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BE0CBA2" w14:textId="77777777" w:rsidR="00A73FEA" w:rsidRDefault="00A73FEA" w:rsidP="006A2BCA">
            <w:pPr>
              <w:autoSpaceDE w:val="0"/>
              <w:autoSpaceDN w:val="0"/>
              <w:adjustRightInd w:val="0"/>
              <w:spacing w:after="0" w:line="240" w:lineRule="auto"/>
              <w:jc w:val="center"/>
              <w:rPr>
                <w:lang w:eastAsia="en-GB"/>
              </w:rPr>
            </w:pPr>
          </w:p>
          <w:p w14:paraId="0B15CB88" w14:textId="6CB15111" w:rsidR="00A73FEA" w:rsidRDefault="00A73FEA" w:rsidP="006A2BCA">
            <w:pPr>
              <w:autoSpaceDE w:val="0"/>
              <w:autoSpaceDN w:val="0"/>
              <w:adjustRightInd w:val="0"/>
              <w:spacing w:after="0" w:line="240" w:lineRule="auto"/>
              <w:jc w:val="center"/>
              <w:rPr>
                <w:lang w:eastAsia="en-GB"/>
              </w:rPr>
            </w:pPr>
            <w:r w:rsidRPr="00A73FEA">
              <w:rPr>
                <w:lang w:eastAsia="en-GB"/>
              </w:rPr>
              <w:t>Ms Jan Mackenzie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E2DD71A" w14:textId="42344B6C" w:rsidR="00A73FEA" w:rsidRPr="00A73FEA" w:rsidRDefault="00A73FEA" w:rsidP="000D27D4">
            <w:pPr>
              <w:pStyle w:val="NoSpacing"/>
            </w:pPr>
            <w:r w:rsidRPr="00A73FEA">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FA1F137" w14:textId="06D896AB" w:rsidR="00A73FEA" w:rsidRPr="00A73FEA" w:rsidRDefault="00A73FEA" w:rsidP="00C17110">
            <w:pPr>
              <w:tabs>
                <w:tab w:val="left" w:pos="720"/>
                <w:tab w:val="left" w:pos="1440"/>
                <w:tab w:val="left" w:pos="2160"/>
                <w:tab w:val="left" w:pos="2880"/>
                <w:tab w:val="left" w:pos="4680"/>
                <w:tab w:val="left" w:pos="5400"/>
                <w:tab w:val="right" w:pos="9000"/>
              </w:tabs>
              <w:spacing w:after="0" w:line="360" w:lineRule="auto"/>
            </w:pPr>
            <w:r w:rsidRPr="00A73FEA">
              <w:t>Transfusion Medicine Epidemiology Review (TMER)</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2AF8C9F" w14:textId="77777777" w:rsidR="00A73FEA" w:rsidRDefault="00A73FEA" w:rsidP="006A2BCA">
            <w:pPr>
              <w:autoSpaceDE w:val="0"/>
              <w:autoSpaceDN w:val="0"/>
              <w:adjustRightInd w:val="0"/>
              <w:spacing w:after="0" w:line="240" w:lineRule="auto"/>
              <w:rPr>
                <w:rFonts w:cs="Arial"/>
                <w:color w:val="000000"/>
                <w:sz w:val="24"/>
                <w:szCs w:val="24"/>
              </w:rPr>
            </w:pPr>
          </w:p>
        </w:tc>
      </w:tr>
      <w:tr w:rsidR="007D2FEB" w:rsidRPr="00F91ECD" w14:paraId="77E938E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2102C" w14:textId="33E44197" w:rsidR="007D2FEB" w:rsidRDefault="007D2FEB" w:rsidP="003E6190">
            <w:hyperlink w:anchor="_2122-0023_Karen_Dennison" w:history="1">
              <w:r w:rsidRPr="00B56D7C">
                <w:rPr>
                  <w:rStyle w:val="Hyperlink"/>
                </w:rPr>
                <w:t>2122-0023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9732833" w14:textId="2CABD557" w:rsidR="007D2FEB" w:rsidRDefault="007D2FEB" w:rsidP="006A2BCA">
            <w:pPr>
              <w:autoSpaceDE w:val="0"/>
              <w:autoSpaceDN w:val="0"/>
              <w:adjustRightInd w:val="0"/>
              <w:spacing w:after="0" w:line="240" w:lineRule="auto"/>
              <w:jc w:val="center"/>
              <w:rPr>
                <w:lang w:eastAsia="en-GB"/>
              </w:rPr>
            </w:pPr>
            <w:r w:rsidRPr="007D2FEB">
              <w:rPr>
                <w:lang w:eastAsia="en-GB"/>
              </w:rPr>
              <w:t>Karen Dennison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1D9F98F" w14:textId="4B551647" w:rsidR="007D2FEB" w:rsidRPr="00A73FEA" w:rsidRDefault="003A7944" w:rsidP="000D27D4">
            <w:pPr>
              <w:pStyle w:val="NoSpacing"/>
            </w:pPr>
            <w:r w:rsidRPr="003A7944">
              <w:t>University College London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2478BEF" w14:textId="4CD4A5E6" w:rsidR="007D2FEB" w:rsidRPr="00A73FEA" w:rsidRDefault="003A7944" w:rsidP="00C17110">
            <w:pPr>
              <w:tabs>
                <w:tab w:val="left" w:pos="720"/>
                <w:tab w:val="left" w:pos="1440"/>
                <w:tab w:val="left" w:pos="2160"/>
                <w:tab w:val="left" w:pos="2880"/>
                <w:tab w:val="left" w:pos="4680"/>
                <w:tab w:val="left" w:pos="5400"/>
                <w:tab w:val="right" w:pos="9000"/>
              </w:tabs>
              <w:spacing w:after="0" w:line="360" w:lineRule="auto"/>
            </w:pPr>
            <w:r w:rsidRPr="003A7944">
              <w:t>The Early Life Cohort Feasibility Study (ELC-FS)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D668ADE" w14:textId="77777777" w:rsidR="007D2FEB" w:rsidRDefault="007D2FEB" w:rsidP="006A2BCA">
            <w:pPr>
              <w:autoSpaceDE w:val="0"/>
              <w:autoSpaceDN w:val="0"/>
              <w:adjustRightInd w:val="0"/>
              <w:spacing w:after="0" w:line="240" w:lineRule="auto"/>
              <w:rPr>
                <w:rFonts w:cs="Arial"/>
                <w:color w:val="000000"/>
                <w:sz w:val="24"/>
                <w:szCs w:val="24"/>
              </w:rPr>
            </w:pPr>
          </w:p>
          <w:p w14:paraId="3DD03760" w14:textId="77777777" w:rsidR="003A7944" w:rsidRDefault="003A7944" w:rsidP="006A2BCA">
            <w:pPr>
              <w:autoSpaceDE w:val="0"/>
              <w:autoSpaceDN w:val="0"/>
              <w:adjustRightInd w:val="0"/>
              <w:spacing w:after="0" w:line="240" w:lineRule="auto"/>
              <w:rPr>
                <w:rFonts w:cs="Arial"/>
                <w:color w:val="000000"/>
                <w:sz w:val="24"/>
                <w:szCs w:val="24"/>
              </w:rPr>
            </w:pPr>
          </w:p>
        </w:tc>
      </w:tr>
      <w:tr w:rsidR="009702FB" w:rsidRPr="00F91ECD" w14:paraId="2161453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CC9B5" w14:textId="2FA6C8AF" w:rsidR="009702FB" w:rsidRDefault="009702FB" w:rsidP="003E6190"/>
        </w:tc>
        <w:tc>
          <w:tcPr>
            <w:tcW w:w="1406" w:type="dxa"/>
            <w:tcBorders>
              <w:top w:val="single" w:sz="4" w:space="0" w:color="auto"/>
              <w:left w:val="nil"/>
              <w:bottom w:val="single" w:sz="4" w:space="0" w:color="auto"/>
              <w:right w:val="single" w:sz="4" w:space="0" w:color="auto"/>
            </w:tcBorders>
            <w:shd w:val="clear" w:color="auto" w:fill="FFFFFF" w:themeFill="background1"/>
          </w:tcPr>
          <w:p w14:paraId="3FD2D66F" w14:textId="3B8D1D38" w:rsidR="009702FB" w:rsidRPr="007D2FEB" w:rsidRDefault="009702FB" w:rsidP="006A2BCA">
            <w:pPr>
              <w:autoSpaceDE w:val="0"/>
              <w:autoSpaceDN w:val="0"/>
              <w:adjustRightInd w:val="0"/>
              <w:spacing w:after="0" w:line="240" w:lineRule="auto"/>
              <w:jc w:val="center"/>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6792FB7" w14:textId="71FABF63" w:rsidR="009702FB" w:rsidRPr="003A7944" w:rsidRDefault="009702FB" w:rsidP="000D27D4">
            <w:pPr>
              <w:pStyle w:val="NoSpacing"/>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22830EF" w14:textId="4583F27F" w:rsidR="009702FB" w:rsidRPr="003A7944" w:rsidRDefault="009702FB" w:rsidP="00C17110">
            <w:pPr>
              <w:tabs>
                <w:tab w:val="left" w:pos="720"/>
                <w:tab w:val="left" w:pos="1440"/>
                <w:tab w:val="left" w:pos="2160"/>
                <w:tab w:val="left" w:pos="2880"/>
                <w:tab w:val="left" w:pos="4680"/>
                <w:tab w:val="left" w:pos="5400"/>
                <w:tab w:val="right" w:pos="9000"/>
              </w:tabs>
              <w:spacing w:after="0" w:line="360" w:lineRule="auto"/>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AEA162C" w14:textId="7D4119B3" w:rsidR="00DE3865" w:rsidRDefault="00DE3865"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33036F94" w14:textId="6B43EE41" w:rsidR="00F91ECD" w:rsidRDefault="00F91ECD" w:rsidP="00BA7F6F">
      <w:pPr>
        <w:spacing w:line="240" w:lineRule="auto"/>
        <w:rPr>
          <w:b/>
          <w:sz w:val="28"/>
          <w:szCs w:val="24"/>
        </w:rPr>
      </w:pPr>
    </w:p>
    <w:p w14:paraId="071F9529" w14:textId="77777777" w:rsidR="002A4521" w:rsidRDefault="002A4521" w:rsidP="00302CC9">
      <w:pPr>
        <w:pStyle w:val="NoSpacing"/>
        <w:rPr>
          <w:b/>
          <w:sz w:val="24"/>
          <w:szCs w:val="24"/>
        </w:rPr>
      </w:pPr>
      <w:bookmarkStart w:id="10" w:name="_PAC_68/14_Colin"/>
      <w:bookmarkEnd w:id="10"/>
    </w:p>
    <w:p w14:paraId="7C5ABA1C" w14:textId="3F1B25D9" w:rsidR="008852CC" w:rsidRPr="002A4521" w:rsidRDefault="008852CC" w:rsidP="002A4521">
      <w:pPr>
        <w:pStyle w:val="Heading1"/>
        <w:rPr>
          <w:sz w:val="24"/>
          <w:szCs w:val="24"/>
        </w:rPr>
      </w:pPr>
      <w:bookmarkStart w:id="11" w:name="_2122-0018_Anna_Santarsieri"/>
      <w:bookmarkEnd w:id="11"/>
      <w:r w:rsidRPr="002A4521">
        <w:rPr>
          <w:sz w:val="24"/>
          <w:szCs w:val="24"/>
        </w:rPr>
        <w:t>2122-0018</w:t>
      </w:r>
      <w:r w:rsidRPr="002A4521">
        <w:rPr>
          <w:sz w:val="24"/>
          <w:szCs w:val="24"/>
        </w:rPr>
        <w:tab/>
        <w:t>Anna Santarsieri</w:t>
      </w:r>
    </w:p>
    <w:p w14:paraId="73B0AF6C" w14:textId="77777777" w:rsidR="008852CC" w:rsidRDefault="008852CC" w:rsidP="008852CC">
      <w:pPr>
        <w:pStyle w:val="NoSpacing"/>
        <w:rPr>
          <w:b/>
          <w:sz w:val="24"/>
          <w:szCs w:val="24"/>
        </w:rPr>
      </w:pPr>
    </w:p>
    <w:p w14:paraId="1E0BFD90" w14:textId="21921B98" w:rsidR="008852CC" w:rsidRDefault="008804C1" w:rsidP="008852CC">
      <w:pPr>
        <w:pStyle w:val="NoSpacing"/>
        <w:rPr>
          <w:b/>
          <w:sz w:val="24"/>
          <w:szCs w:val="24"/>
        </w:rPr>
      </w:pPr>
      <w:r w:rsidRPr="008804C1">
        <w:rPr>
          <w:b/>
          <w:sz w:val="24"/>
          <w:szCs w:val="24"/>
        </w:rPr>
        <w:t>Toxicities and strategies to reduce them in blood cancer patients treated in the non-trial setting</w:t>
      </w:r>
    </w:p>
    <w:p w14:paraId="66AFDCBE" w14:textId="77777777" w:rsidR="008852CC" w:rsidRDefault="008852CC" w:rsidP="008852CC">
      <w:pPr>
        <w:pStyle w:val="NoSpacing"/>
        <w:rPr>
          <w:b/>
          <w:sz w:val="24"/>
          <w:szCs w:val="24"/>
        </w:rPr>
      </w:pPr>
    </w:p>
    <w:p w14:paraId="384C0E62" w14:textId="22D53E5D" w:rsidR="008852CC" w:rsidRDefault="008852CC" w:rsidP="008852CC">
      <w:pPr>
        <w:pStyle w:val="NoSpacing"/>
        <w:rPr>
          <w:b/>
          <w:sz w:val="24"/>
          <w:szCs w:val="24"/>
        </w:rPr>
      </w:pPr>
      <w:bookmarkStart w:id="12" w:name="_Hlk148448465"/>
      <w:r w:rsidRPr="008852CC">
        <w:rPr>
          <w:b/>
          <w:sz w:val="24"/>
          <w:szCs w:val="24"/>
        </w:rPr>
        <w:t>End of Project Report</w:t>
      </w:r>
    </w:p>
    <w:bookmarkEnd w:id="12"/>
    <w:p w14:paraId="58FD8453" w14:textId="77777777" w:rsidR="008804C1" w:rsidRDefault="008804C1" w:rsidP="008852CC">
      <w:pPr>
        <w:pStyle w:val="NoSpacing"/>
        <w:rPr>
          <w:b/>
          <w:sz w:val="24"/>
          <w:szCs w:val="24"/>
        </w:rPr>
      </w:pPr>
    </w:p>
    <w:p w14:paraId="39A7DE94" w14:textId="77777777" w:rsidR="0083608E" w:rsidRDefault="0083608E" w:rsidP="0083608E">
      <w:pPr>
        <w:rPr>
          <w:b/>
        </w:rPr>
      </w:pPr>
    </w:p>
    <w:tbl>
      <w:tblPr>
        <w:tblStyle w:val="TableGrid"/>
        <w:tblW w:w="5000" w:type="pct"/>
        <w:tblLook w:val="04A0" w:firstRow="1" w:lastRow="0" w:firstColumn="1" w:lastColumn="0" w:noHBand="0" w:noVBand="1"/>
      </w:tblPr>
      <w:tblGrid>
        <w:gridCol w:w="339"/>
        <w:gridCol w:w="3359"/>
        <w:gridCol w:w="5318"/>
      </w:tblGrid>
      <w:tr w:rsidR="0083608E" w14:paraId="00BFE61F"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12A13D" w14:textId="77777777" w:rsidR="0083608E" w:rsidRDefault="0083608E">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C09A51" w14:textId="77777777" w:rsidR="0083608E" w:rsidRDefault="0083608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ED0AB0" w14:textId="77777777" w:rsidR="0083608E" w:rsidRDefault="0083608E">
            <w:pPr>
              <w:spacing w:after="200" w:line="276" w:lineRule="auto"/>
              <w:ind w:left="360"/>
              <w:rPr>
                <w:lang w:eastAsia="en-GB"/>
              </w:rPr>
            </w:pPr>
          </w:p>
        </w:tc>
      </w:tr>
      <w:tr w:rsidR="0083608E" w14:paraId="072FB24D" w14:textId="77777777" w:rsidTr="0083608E">
        <w:trPr>
          <w:trHeight w:hRule="exact" w:val="2104"/>
        </w:trPr>
        <w:tc>
          <w:tcPr>
            <w:tcW w:w="188" w:type="pct"/>
            <w:tcBorders>
              <w:top w:val="single" w:sz="4" w:space="0" w:color="auto"/>
              <w:left w:val="single" w:sz="4" w:space="0" w:color="auto"/>
              <w:bottom w:val="single" w:sz="4" w:space="0" w:color="auto"/>
              <w:right w:val="single" w:sz="4" w:space="0" w:color="auto"/>
            </w:tcBorders>
            <w:vAlign w:val="center"/>
          </w:tcPr>
          <w:p w14:paraId="5CEBE11E"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0281C08" w14:textId="77777777" w:rsidR="0083608E" w:rsidRDefault="0083608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DC845EE" w14:textId="77777777" w:rsidR="0083608E" w:rsidRDefault="0083608E">
            <w:pPr>
              <w:spacing w:line="360" w:lineRule="auto"/>
              <w:rPr>
                <w:lang w:eastAsia="en-GB"/>
              </w:rPr>
            </w:pPr>
            <w:r>
              <w:rPr>
                <w:lang w:eastAsia="en-GB"/>
              </w:rPr>
              <w:t>To investigate whether a modified chemotherapy protocol (escalated BEACOPDac) is as effective as standard chemotherapy (escalated BEACOPP) in Hodgkin lymphoma therapy for younger adults (16-60y)</w:t>
            </w:r>
          </w:p>
        </w:tc>
      </w:tr>
      <w:tr w:rsidR="0083608E" w14:paraId="59CBA9FA"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D7EABF" w14:textId="77777777" w:rsidR="0083608E" w:rsidRDefault="0083608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5572C3" w14:textId="77777777" w:rsidR="0083608E" w:rsidRDefault="0083608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20605C" w14:textId="77777777" w:rsidR="0083608E" w:rsidRDefault="0083608E">
            <w:pPr>
              <w:spacing w:after="200" w:line="276" w:lineRule="auto"/>
              <w:ind w:left="360"/>
              <w:rPr>
                <w:lang w:eastAsia="en-GB"/>
              </w:rPr>
            </w:pPr>
          </w:p>
          <w:p w14:paraId="371D61C5" w14:textId="77777777" w:rsidR="0083608E" w:rsidRDefault="0083608E">
            <w:pPr>
              <w:spacing w:after="200" w:line="276" w:lineRule="auto"/>
              <w:rPr>
                <w:lang w:eastAsia="en-GB"/>
              </w:rPr>
            </w:pPr>
          </w:p>
          <w:p w14:paraId="7D3C8CD1" w14:textId="77777777" w:rsidR="0083608E" w:rsidRDefault="0083608E">
            <w:pPr>
              <w:spacing w:after="200" w:line="276" w:lineRule="auto"/>
              <w:rPr>
                <w:lang w:eastAsia="en-GB"/>
              </w:rPr>
            </w:pPr>
          </w:p>
          <w:p w14:paraId="16F32E5B" w14:textId="77777777" w:rsidR="0083608E" w:rsidRDefault="0083608E">
            <w:pPr>
              <w:spacing w:after="200" w:line="276" w:lineRule="auto"/>
              <w:rPr>
                <w:lang w:eastAsia="en-GB"/>
              </w:rPr>
            </w:pPr>
          </w:p>
          <w:p w14:paraId="0A46196D" w14:textId="77777777" w:rsidR="0083608E" w:rsidRDefault="0083608E">
            <w:pPr>
              <w:spacing w:after="200" w:line="276" w:lineRule="auto"/>
              <w:rPr>
                <w:lang w:eastAsia="en-GB"/>
              </w:rPr>
            </w:pPr>
          </w:p>
          <w:p w14:paraId="3E4A1F33" w14:textId="77777777" w:rsidR="0083608E" w:rsidRDefault="0083608E">
            <w:pPr>
              <w:spacing w:after="200" w:line="276" w:lineRule="auto"/>
              <w:rPr>
                <w:lang w:eastAsia="en-GB"/>
              </w:rPr>
            </w:pPr>
          </w:p>
          <w:p w14:paraId="3C9BAEA3" w14:textId="77777777" w:rsidR="0083608E" w:rsidRDefault="0083608E">
            <w:pPr>
              <w:spacing w:after="200" w:line="276" w:lineRule="auto"/>
              <w:rPr>
                <w:lang w:eastAsia="en-GB"/>
              </w:rPr>
            </w:pPr>
          </w:p>
          <w:p w14:paraId="3B876527" w14:textId="77777777" w:rsidR="0083608E" w:rsidRDefault="0083608E">
            <w:pPr>
              <w:spacing w:after="200" w:line="276" w:lineRule="auto"/>
              <w:rPr>
                <w:lang w:eastAsia="en-GB"/>
              </w:rPr>
            </w:pPr>
          </w:p>
          <w:p w14:paraId="54405D03" w14:textId="77777777" w:rsidR="0083608E" w:rsidRDefault="0083608E">
            <w:pPr>
              <w:spacing w:after="200" w:line="276" w:lineRule="auto"/>
              <w:rPr>
                <w:lang w:eastAsia="en-GB"/>
              </w:rPr>
            </w:pPr>
          </w:p>
          <w:p w14:paraId="443D1FBF" w14:textId="77777777" w:rsidR="0083608E" w:rsidRDefault="0083608E">
            <w:pPr>
              <w:spacing w:after="200" w:line="276" w:lineRule="auto"/>
              <w:rPr>
                <w:lang w:eastAsia="en-GB"/>
              </w:rPr>
            </w:pPr>
          </w:p>
          <w:p w14:paraId="77F7AC30" w14:textId="77777777" w:rsidR="0083608E" w:rsidRDefault="0083608E">
            <w:pPr>
              <w:spacing w:after="200" w:line="276" w:lineRule="auto"/>
              <w:rPr>
                <w:lang w:eastAsia="en-GB"/>
              </w:rPr>
            </w:pPr>
          </w:p>
          <w:p w14:paraId="7395AA6A" w14:textId="77777777" w:rsidR="0083608E" w:rsidRDefault="0083608E">
            <w:pPr>
              <w:spacing w:after="200" w:line="276" w:lineRule="auto"/>
              <w:rPr>
                <w:lang w:eastAsia="en-GB"/>
              </w:rPr>
            </w:pPr>
          </w:p>
          <w:p w14:paraId="4FB7A3CF" w14:textId="77777777" w:rsidR="0083608E" w:rsidRDefault="0083608E">
            <w:pPr>
              <w:spacing w:after="200" w:line="276" w:lineRule="auto"/>
              <w:rPr>
                <w:lang w:eastAsia="en-GB"/>
              </w:rPr>
            </w:pPr>
          </w:p>
          <w:p w14:paraId="53142D6A" w14:textId="77777777" w:rsidR="0083608E" w:rsidRDefault="0083608E">
            <w:pPr>
              <w:spacing w:after="200" w:line="276" w:lineRule="auto"/>
              <w:rPr>
                <w:lang w:eastAsia="en-GB"/>
              </w:rPr>
            </w:pPr>
          </w:p>
          <w:p w14:paraId="481F26F4" w14:textId="77777777" w:rsidR="0083608E" w:rsidRDefault="0083608E">
            <w:pPr>
              <w:spacing w:after="200" w:line="276" w:lineRule="auto"/>
              <w:rPr>
                <w:lang w:eastAsia="en-GB"/>
              </w:rPr>
            </w:pPr>
          </w:p>
          <w:p w14:paraId="6E264A9C" w14:textId="77777777" w:rsidR="0083608E" w:rsidRDefault="0083608E">
            <w:pPr>
              <w:spacing w:after="200" w:line="276" w:lineRule="auto"/>
              <w:rPr>
                <w:lang w:eastAsia="en-GB"/>
              </w:rPr>
            </w:pPr>
          </w:p>
          <w:p w14:paraId="4E09390F" w14:textId="77777777" w:rsidR="0083608E" w:rsidRDefault="0083608E">
            <w:pPr>
              <w:spacing w:after="200" w:line="276" w:lineRule="auto"/>
              <w:rPr>
                <w:lang w:eastAsia="en-GB"/>
              </w:rPr>
            </w:pPr>
          </w:p>
          <w:p w14:paraId="52DECDFD" w14:textId="77777777" w:rsidR="0083608E" w:rsidRDefault="0083608E">
            <w:pPr>
              <w:spacing w:after="200" w:line="276" w:lineRule="auto"/>
              <w:rPr>
                <w:lang w:eastAsia="en-GB"/>
              </w:rPr>
            </w:pPr>
          </w:p>
          <w:p w14:paraId="48913F12" w14:textId="77777777" w:rsidR="0083608E" w:rsidRDefault="0083608E">
            <w:pPr>
              <w:spacing w:after="200" w:line="276" w:lineRule="auto"/>
              <w:rPr>
                <w:lang w:eastAsia="en-GB"/>
              </w:rPr>
            </w:pPr>
          </w:p>
          <w:p w14:paraId="072D7F6B" w14:textId="77777777" w:rsidR="0083608E" w:rsidRDefault="0083608E">
            <w:pPr>
              <w:spacing w:after="200" w:line="276" w:lineRule="auto"/>
              <w:rPr>
                <w:lang w:eastAsia="en-GB"/>
              </w:rPr>
            </w:pPr>
          </w:p>
          <w:p w14:paraId="777DD23B" w14:textId="77777777" w:rsidR="0083608E" w:rsidRDefault="0083608E">
            <w:pPr>
              <w:spacing w:after="200" w:line="276" w:lineRule="auto"/>
              <w:rPr>
                <w:lang w:eastAsia="en-GB"/>
              </w:rPr>
            </w:pPr>
          </w:p>
          <w:p w14:paraId="30F721A3" w14:textId="77777777" w:rsidR="0083608E" w:rsidRDefault="0083608E">
            <w:pPr>
              <w:spacing w:after="200" w:line="276" w:lineRule="auto"/>
              <w:rPr>
                <w:lang w:eastAsia="en-GB"/>
              </w:rPr>
            </w:pPr>
          </w:p>
          <w:p w14:paraId="13D23BF7" w14:textId="77777777" w:rsidR="0083608E" w:rsidRDefault="0083608E">
            <w:pPr>
              <w:spacing w:after="200" w:line="276" w:lineRule="auto"/>
              <w:rPr>
                <w:lang w:eastAsia="en-GB"/>
              </w:rPr>
            </w:pPr>
          </w:p>
          <w:p w14:paraId="03532CBB" w14:textId="77777777" w:rsidR="0083608E" w:rsidRDefault="0083608E">
            <w:pPr>
              <w:spacing w:after="200" w:line="276" w:lineRule="auto"/>
              <w:rPr>
                <w:lang w:eastAsia="en-GB"/>
              </w:rPr>
            </w:pPr>
          </w:p>
          <w:p w14:paraId="28E7A5AD" w14:textId="77777777" w:rsidR="0083608E" w:rsidRDefault="0083608E">
            <w:pPr>
              <w:spacing w:after="200" w:line="276" w:lineRule="auto"/>
              <w:rPr>
                <w:lang w:eastAsia="en-GB"/>
              </w:rPr>
            </w:pPr>
          </w:p>
        </w:tc>
      </w:tr>
      <w:tr w:rsidR="0083608E" w14:paraId="4419B860" w14:textId="77777777" w:rsidTr="0083608E">
        <w:trPr>
          <w:trHeight w:hRule="exact" w:val="3774"/>
        </w:trPr>
        <w:tc>
          <w:tcPr>
            <w:tcW w:w="188" w:type="pct"/>
            <w:tcBorders>
              <w:top w:val="single" w:sz="4" w:space="0" w:color="auto"/>
              <w:left w:val="single" w:sz="4" w:space="0" w:color="auto"/>
              <w:bottom w:val="single" w:sz="4" w:space="0" w:color="auto"/>
              <w:right w:val="single" w:sz="4" w:space="0" w:color="auto"/>
            </w:tcBorders>
            <w:vAlign w:val="center"/>
          </w:tcPr>
          <w:p w14:paraId="7544BB47"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8D17C5D" w14:textId="77777777" w:rsidR="0083608E" w:rsidRDefault="0083608E">
            <w:pPr>
              <w:spacing w:after="200" w:line="276" w:lineRule="auto"/>
              <w:ind w:left="20"/>
              <w:rPr>
                <w:lang w:eastAsia="en-GB"/>
              </w:rPr>
            </w:pPr>
            <w:r>
              <w:rPr>
                <w:lang w:eastAsia="en-GB"/>
              </w:rPr>
              <w:t>How will these outcomes directly result in benefit for the public? Please give details. This should be the main section answered.</w:t>
            </w:r>
          </w:p>
          <w:p w14:paraId="479CF971" w14:textId="77777777" w:rsidR="0083608E" w:rsidRDefault="0083608E">
            <w:pPr>
              <w:spacing w:after="200" w:line="276" w:lineRule="auto"/>
              <w:ind w:left="20"/>
              <w:rPr>
                <w:lang w:eastAsia="en-GB"/>
              </w:rPr>
            </w:pPr>
          </w:p>
          <w:p w14:paraId="6C1A2EFA" w14:textId="77777777" w:rsidR="0083608E" w:rsidRDefault="0083608E">
            <w:pPr>
              <w:spacing w:after="200" w:line="276" w:lineRule="auto"/>
              <w:ind w:left="20"/>
              <w:rPr>
                <w:lang w:eastAsia="en-GB"/>
              </w:rPr>
            </w:pPr>
          </w:p>
          <w:p w14:paraId="43891F3C" w14:textId="77777777" w:rsidR="0083608E" w:rsidRDefault="0083608E">
            <w:pPr>
              <w:spacing w:after="200" w:line="276" w:lineRule="auto"/>
              <w:ind w:left="20"/>
              <w:rPr>
                <w:lang w:eastAsia="en-GB"/>
              </w:rPr>
            </w:pPr>
          </w:p>
          <w:p w14:paraId="7E8028B8" w14:textId="77777777" w:rsidR="0083608E" w:rsidRDefault="0083608E">
            <w:pPr>
              <w:spacing w:after="200" w:line="276" w:lineRule="auto"/>
              <w:ind w:left="20"/>
              <w:rPr>
                <w:lang w:eastAsia="en-GB"/>
              </w:rPr>
            </w:pPr>
          </w:p>
          <w:p w14:paraId="15A71894" w14:textId="77777777" w:rsidR="0083608E" w:rsidRDefault="0083608E">
            <w:pPr>
              <w:spacing w:after="200" w:line="276" w:lineRule="auto"/>
              <w:ind w:left="20"/>
              <w:rPr>
                <w:lang w:eastAsia="en-GB"/>
              </w:rPr>
            </w:pPr>
          </w:p>
          <w:p w14:paraId="46669173" w14:textId="77777777" w:rsidR="0083608E" w:rsidRDefault="0083608E">
            <w:pPr>
              <w:spacing w:after="200" w:line="276" w:lineRule="auto"/>
              <w:ind w:left="20"/>
              <w:rPr>
                <w:lang w:eastAsia="en-GB"/>
              </w:rPr>
            </w:pPr>
          </w:p>
          <w:p w14:paraId="67E6BEA5" w14:textId="77777777" w:rsidR="0083608E" w:rsidRDefault="008360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1A2C9FED" w14:textId="77777777" w:rsidR="0083608E" w:rsidRDefault="0083608E">
            <w:pPr>
              <w:spacing w:line="360" w:lineRule="auto"/>
              <w:rPr>
                <w:lang w:eastAsia="en-GB"/>
              </w:rPr>
            </w:pPr>
          </w:p>
          <w:p w14:paraId="3D0014B9" w14:textId="77777777" w:rsidR="0083608E" w:rsidRDefault="0083608E">
            <w:r>
              <w:t>Our project has generated evidence for the clinical and genomic health benefits of escalated BEACOPDac, compared with escalated BEACOPP. As a result of presentation of our research at international conferences, many centres across the world (in the UK, France, Switzerland, the whole of Sweden, Australia) have switched from using escalated BEACOPP to escalated BEACOPDac.  This has benefitted hundreds of patients with Hodgkin lymphoma across the world.</w:t>
            </w:r>
          </w:p>
          <w:p w14:paraId="4727DDF0" w14:textId="77777777" w:rsidR="0083608E" w:rsidRDefault="0083608E">
            <w:pPr>
              <w:spacing w:line="360" w:lineRule="auto"/>
              <w:rPr>
                <w:lang w:eastAsia="en-GB"/>
              </w:rPr>
            </w:pPr>
          </w:p>
          <w:p w14:paraId="5F7A2D22" w14:textId="77777777" w:rsidR="0083608E" w:rsidRDefault="0083608E">
            <w:pPr>
              <w:spacing w:line="360" w:lineRule="auto"/>
              <w:rPr>
                <w:lang w:eastAsia="en-GB"/>
              </w:rPr>
            </w:pPr>
          </w:p>
          <w:p w14:paraId="6D224F3C" w14:textId="77777777" w:rsidR="0083608E" w:rsidRDefault="0083608E">
            <w:pPr>
              <w:spacing w:line="360" w:lineRule="auto"/>
              <w:rPr>
                <w:lang w:eastAsia="en-GB"/>
              </w:rPr>
            </w:pPr>
          </w:p>
          <w:p w14:paraId="5846A17D" w14:textId="77777777" w:rsidR="0083608E" w:rsidRDefault="0083608E">
            <w:pPr>
              <w:spacing w:line="360" w:lineRule="auto"/>
              <w:rPr>
                <w:lang w:eastAsia="en-GB"/>
              </w:rPr>
            </w:pPr>
          </w:p>
          <w:p w14:paraId="28AE1972" w14:textId="77777777" w:rsidR="0083608E" w:rsidRDefault="0083608E">
            <w:pPr>
              <w:spacing w:line="360" w:lineRule="auto"/>
              <w:rPr>
                <w:lang w:eastAsia="en-GB"/>
              </w:rPr>
            </w:pPr>
          </w:p>
          <w:p w14:paraId="3A12E682" w14:textId="77777777" w:rsidR="0083608E" w:rsidRDefault="0083608E">
            <w:pPr>
              <w:spacing w:line="360" w:lineRule="auto"/>
              <w:rPr>
                <w:lang w:eastAsia="en-GB"/>
              </w:rPr>
            </w:pPr>
          </w:p>
          <w:p w14:paraId="0221D6A2" w14:textId="77777777" w:rsidR="0083608E" w:rsidRDefault="0083608E">
            <w:pPr>
              <w:spacing w:line="360" w:lineRule="auto"/>
              <w:rPr>
                <w:lang w:eastAsia="en-GB"/>
              </w:rPr>
            </w:pPr>
          </w:p>
          <w:p w14:paraId="6733AA50" w14:textId="77777777" w:rsidR="0083608E" w:rsidRDefault="0083608E">
            <w:pPr>
              <w:spacing w:line="360" w:lineRule="auto"/>
              <w:rPr>
                <w:lang w:eastAsia="en-GB"/>
              </w:rPr>
            </w:pPr>
          </w:p>
        </w:tc>
      </w:tr>
      <w:tr w:rsidR="0083608E" w14:paraId="12849985"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C30847" w14:textId="77777777" w:rsidR="0083608E" w:rsidRDefault="0083608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21579F" w14:textId="77777777" w:rsidR="0083608E" w:rsidRDefault="0083608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2B41B5" w14:textId="77777777" w:rsidR="0083608E" w:rsidRDefault="0083608E">
            <w:pPr>
              <w:spacing w:after="200" w:line="276" w:lineRule="auto"/>
              <w:ind w:left="360"/>
              <w:rPr>
                <w:lang w:eastAsia="en-GB"/>
              </w:rPr>
            </w:pPr>
          </w:p>
        </w:tc>
      </w:tr>
      <w:tr w:rsidR="0083608E" w14:paraId="52428330" w14:textId="77777777" w:rsidTr="0083608E">
        <w:trPr>
          <w:trHeight w:hRule="exact" w:val="2686"/>
        </w:trPr>
        <w:tc>
          <w:tcPr>
            <w:tcW w:w="188" w:type="pct"/>
            <w:tcBorders>
              <w:top w:val="single" w:sz="4" w:space="0" w:color="auto"/>
              <w:left w:val="single" w:sz="4" w:space="0" w:color="auto"/>
              <w:bottom w:val="single" w:sz="4" w:space="0" w:color="auto"/>
              <w:right w:val="single" w:sz="4" w:space="0" w:color="auto"/>
            </w:tcBorders>
            <w:vAlign w:val="center"/>
          </w:tcPr>
          <w:p w14:paraId="040231DA"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33F23F4" w14:textId="77777777" w:rsidR="0083608E" w:rsidRDefault="0083608E">
            <w:pPr>
              <w:spacing w:after="200" w:line="276" w:lineRule="auto"/>
              <w:ind w:left="20"/>
              <w:rPr>
                <w:lang w:eastAsia="en-GB"/>
              </w:rPr>
            </w:pPr>
            <w:r>
              <w:rPr>
                <w:lang w:eastAsia="en-GB"/>
              </w:rPr>
              <w:t xml:space="preserve">What data were received/processed/collected? </w:t>
            </w:r>
          </w:p>
          <w:p w14:paraId="0853247B" w14:textId="77777777" w:rsidR="0083608E" w:rsidRDefault="0083608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8AB382E" w14:textId="77777777" w:rsidR="0083608E" w:rsidRDefault="0083608E">
            <w:r>
              <w:rPr>
                <w:lang w:eastAsia="en-GB"/>
              </w:rPr>
              <w:t xml:space="preserve">Retrospective data were collected on </w:t>
            </w:r>
            <w:r>
              <w:t>month/year of diagnosis, vital status at last follow-up, month/year of relapse and death (where applicable) and on specific toxicities (e.g. haematological, biochemical), we will be able to assess how efficacious and how toxic modified therapies are compared with standard treatment.</w:t>
            </w:r>
          </w:p>
          <w:p w14:paraId="5B973113" w14:textId="77777777" w:rsidR="0083608E" w:rsidRDefault="0083608E">
            <w:pPr>
              <w:rPr>
                <w:lang w:eastAsia="en-GB"/>
              </w:rPr>
            </w:pPr>
            <w:r>
              <w:rPr>
                <w:lang w:eastAsia="en-GB"/>
              </w:rPr>
              <w:t>Data collection was as expected.</w:t>
            </w:r>
          </w:p>
        </w:tc>
      </w:tr>
      <w:tr w:rsidR="0083608E" w14:paraId="61AABDC9"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AFA7BF" w14:textId="77777777" w:rsidR="0083608E" w:rsidRDefault="0083608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C32606" w14:textId="77777777" w:rsidR="0083608E" w:rsidRDefault="0083608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9693A4" w14:textId="77777777" w:rsidR="0083608E" w:rsidRDefault="0083608E">
            <w:pPr>
              <w:spacing w:after="200" w:line="276" w:lineRule="auto"/>
              <w:ind w:left="360"/>
              <w:rPr>
                <w:lang w:eastAsia="en-GB"/>
              </w:rPr>
            </w:pPr>
          </w:p>
        </w:tc>
      </w:tr>
      <w:tr w:rsidR="0083608E" w14:paraId="1167957E" w14:textId="77777777" w:rsidTr="0083608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E3FC599"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F8C68E8" w14:textId="77777777" w:rsidR="0083608E" w:rsidRDefault="0083608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8A15C87" w14:textId="77777777" w:rsidR="0083608E" w:rsidRDefault="0083608E">
            <w:pPr>
              <w:rPr>
                <w:lang w:eastAsia="en-GB"/>
              </w:rPr>
            </w:pPr>
            <w:r>
              <w:t>Eligible patients were identified by Principal Investigator (Haematologist) at local NHS hospital. Patient identifiers removed. Assigned unique study ID and data collected in spreadsheet. Pseudonymised data from participating NHS Health Board were sent in password-protected file from nhs.scot to nhs.net account at Cambridge University Hospitals.</w:t>
            </w:r>
          </w:p>
        </w:tc>
      </w:tr>
      <w:tr w:rsidR="0083608E" w14:paraId="3E4CFD60" w14:textId="77777777" w:rsidTr="0083608E">
        <w:trPr>
          <w:trHeight w:hRule="exact" w:val="3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EAC35" w14:textId="77777777" w:rsidR="0083608E" w:rsidRDefault="008360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2815840" w14:textId="77777777" w:rsidR="0083608E" w:rsidRDefault="0083608E">
            <w:pPr>
              <w:spacing w:after="200" w:line="276" w:lineRule="auto"/>
              <w:ind w:left="20"/>
              <w:rPr>
                <w:lang w:eastAsia="en-GB"/>
              </w:rPr>
            </w:pPr>
            <w:r>
              <w:rPr>
                <w:lang w:eastAsia="en-GB"/>
              </w:rPr>
              <w:t xml:space="preserve">How did you process the data? </w:t>
            </w:r>
          </w:p>
          <w:p w14:paraId="672377C6" w14:textId="77777777" w:rsidR="0083608E" w:rsidRDefault="008360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6B6CFC1" w14:textId="77777777" w:rsidR="0083608E" w:rsidRDefault="0083608E">
            <w:pPr>
              <w:spacing w:after="200"/>
              <w:ind w:left="20"/>
            </w:pPr>
            <w:r>
              <w:t>Data were stored at Cambridge University Hospitals.  Data were collated and analysed to compare efficacy and toxicity endpoints. Data analysis was performed using R software. Statistical tests used included Mann-Whitney U, Fisher and T-tests. A survival analysis was performed using Kaplan-Meier estimators.</w:t>
            </w:r>
          </w:p>
        </w:tc>
      </w:tr>
      <w:tr w:rsidR="0083608E" w14:paraId="74E75CAC" w14:textId="77777777" w:rsidTr="0083608E">
        <w:trPr>
          <w:trHeight w:hRule="exact" w:val="1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112AF" w14:textId="77777777" w:rsidR="0083608E" w:rsidRDefault="008360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0569001" w14:textId="77777777" w:rsidR="0083608E" w:rsidRDefault="0083608E">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3DF3455" w14:textId="77777777" w:rsidR="0083608E" w:rsidRDefault="0083608E">
            <w:pPr>
              <w:spacing w:line="360" w:lineRule="auto"/>
              <w:rPr>
                <w:lang w:eastAsia="en-GB"/>
              </w:rPr>
            </w:pPr>
            <w:r>
              <w:rPr>
                <w:lang w:eastAsia="en-GB"/>
              </w:rPr>
              <w:t>The data has been presented at international conferences as detailed above. We plan to write up and publish the data in 203.</w:t>
            </w:r>
          </w:p>
        </w:tc>
      </w:tr>
      <w:tr w:rsidR="0083608E" w14:paraId="14BE92B0" w14:textId="77777777" w:rsidTr="0083608E">
        <w:trPr>
          <w:trHeight w:hRule="exact" w:val="1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B18BE" w14:textId="77777777" w:rsidR="0083608E" w:rsidRDefault="008360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2511068" w14:textId="77777777" w:rsidR="0083608E" w:rsidRDefault="0083608E">
            <w:pPr>
              <w:spacing w:after="200" w:line="276" w:lineRule="auto"/>
              <w:ind w:left="20"/>
              <w:rPr>
                <w:lang w:eastAsia="en-GB"/>
              </w:rPr>
            </w:pPr>
            <w:r>
              <w:rPr>
                <w:lang w:eastAsia="en-GB"/>
              </w:rPr>
              <w:t>Did your study scope change from its original aims? Please give brief details.</w:t>
            </w:r>
          </w:p>
          <w:p w14:paraId="2AEF4877" w14:textId="77777777" w:rsidR="0083608E" w:rsidRDefault="008360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8BBB940" w14:textId="77777777" w:rsidR="0083608E" w:rsidRDefault="0083608E">
            <w:pPr>
              <w:spacing w:line="360" w:lineRule="auto"/>
              <w:rPr>
                <w:lang w:eastAsia="en-GB"/>
              </w:rPr>
            </w:pPr>
            <w:r>
              <w:rPr>
                <w:lang w:eastAsia="en-GB"/>
              </w:rPr>
              <w:t>The study scope has changed from its original aims in that it has focused predominantly on the treatment of Hodgkin lymphoma in younger adults.</w:t>
            </w:r>
          </w:p>
        </w:tc>
      </w:tr>
      <w:tr w:rsidR="0083608E" w14:paraId="067903A7"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0E1385" w14:textId="77777777" w:rsidR="0083608E" w:rsidRDefault="0083608E">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0FCE41" w14:textId="77777777" w:rsidR="0083608E" w:rsidRDefault="0083608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684DAF" w14:textId="77777777" w:rsidR="0083608E" w:rsidRDefault="0083608E">
            <w:pPr>
              <w:spacing w:after="200" w:line="276" w:lineRule="auto"/>
              <w:ind w:left="360"/>
              <w:rPr>
                <w:lang w:eastAsia="en-GB"/>
              </w:rPr>
            </w:pPr>
          </w:p>
        </w:tc>
      </w:tr>
      <w:tr w:rsidR="0083608E" w14:paraId="47E3A910" w14:textId="77777777" w:rsidTr="0083608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B8DBF4F"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7F128E5" w14:textId="77777777" w:rsidR="0083608E" w:rsidRDefault="0083608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9BAA1F3" w14:textId="77777777" w:rsidR="0083608E" w:rsidRDefault="0083608E">
            <w:pPr>
              <w:spacing w:line="360" w:lineRule="auto"/>
              <w:rPr>
                <w:lang w:eastAsia="en-GB"/>
              </w:rPr>
            </w:pPr>
            <w:r>
              <w:rPr>
                <w:lang w:eastAsia="en-GB"/>
              </w:rPr>
              <w:t xml:space="preserve">With 27 months median follow-up, escalated BEACOPDac (modified treatment) appears as effective as escalated BEACOPP (standard treatment) in terms of curing younger adults (16-60y) with Hodgkin lymphoma. Patients who received escalated BEACOPDac required </w:t>
            </w:r>
            <w:r>
              <w:rPr>
                <w:lang w:eastAsia="en-GB"/>
              </w:rPr>
              <w:lastRenderedPageBreak/>
              <w:t xml:space="preserve">significantly fewer units of blood transfusion and spent significantly fewer days admitted to hospital. All women under 35y who received escalated BEACOPDac recovered their menstrual periods after treatment and had a significantly earlier return of their menstrual periods than those who had escalated BEACOPP.  </w:t>
            </w:r>
          </w:p>
        </w:tc>
      </w:tr>
      <w:tr w:rsidR="0083608E" w14:paraId="2709FCBF"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D9B716" w14:textId="77777777" w:rsidR="0083608E" w:rsidRDefault="0083608E">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518C86" w14:textId="77777777" w:rsidR="0083608E" w:rsidRDefault="0083608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88E01A" w14:textId="77777777" w:rsidR="0083608E" w:rsidRDefault="0083608E">
            <w:pPr>
              <w:spacing w:after="200" w:line="276" w:lineRule="auto"/>
              <w:ind w:left="360"/>
              <w:rPr>
                <w:lang w:eastAsia="en-GB"/>
              </w:rPr>
            </w:pPr>
          </w:p>
        </w:tc>
      </w:tr>
      <w:tr w:rsidR="0083608E" w14:paraId="082A6331" w14:textId="77777777" w:rsidTr="0083608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531E0D0"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58A5299" w14:textId="77777777" w:rsidR="0083608E" w:rsidRDefault="0083608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68F728D" w14:textId="77777777" w:rsidR="0083608E" w:rsidRDefault="0083608E">
            <w:pPr>
              <w:spacing w:line="360" w:lineRule="auto"/>
              <w:rPr>
                <w:lang w:eastAsia="en-GB"/>
              </w:rPr>
            </w:pPr>
            <w:r>
              <w:rPr>
                <w:lang w:eastAsia="en-GB"/>
              </w:rPr>
              <w:t>Reduced toxicity was observed in patients who received the modified treatment, escalated BEACOPDac.  In this modified regimen dacarbazine has been substituted for procarbazine, which is known to be a relatively stem cell toxic drug.  The results have raised the question whether this toxicity may reflect an excess somatic mutation burden in stem cells exposed to this drug. To explore this hypothesis further we have examined the mutational burden and mutational spectrum in haematopoietic stem and progenitor cells following treatment with either escalated BEACOPP or escalated BEACOPDac.</w:t>
            </w:r>
          </w:p>
        </w:tc>
      </w:tr>
    </w:tbl>
    <w:p w14:paraId="5D2C0BB7" w14:textId="77777777" w:rsidR="0083608E" w:rsidRDefault="0083608E" w:rsidP="0083608E">
      <w:pPr>
        <w:spacing w:line="240" w:lineRule="auto"/>
        <w:ind w:left="-851"/>
        <w:rPr>
          <w:rFonts w:ascii="Arial" w:eastAsia="Times New Roman" w:hAnsi="Arial" w:cs="Arial"/>
          <w:lang w:eastAsia="en-GB"/>
        </w:rPr>
      </w:pPr>
    </w:p>
    <w:p w14:paraId="6FEA5D48" w14:textId="77777777" w:rsidR="00E27609" w:rsidRDefault="00E27609" w:rsidP="00E27609">
      <w:pPr>
        <w:spacing w:line="240" w:lineRule="auto"/>
        <w:ind w:left="-851"/>
        <w:rPr>
          <w:b/>
          <w:sz w:val="28"/>
          <w:szCs w:val="28"/>
        </w:rPr>
      </w:pPr>
      <w:bookmarkStart w:id="13" w:name="_2021-0236_Hazel_Dodds"/>
      <w:bookmarkEnd w:id="13"/>
    </w:p>
    <w:p w14:paraId="2AA7CAC6" w14:textId="77777777" w:rsidR="00671D3E" w:rsidRDefault="00671D3E" w:rsidP="00E27609">
      <w:pPr>
        <w:spacing w:line="240" w:lineRule="auto"/>
        <w:ind w:left="-851"/>
        <w:rPr>
          <w:b/>
          <w:sz w:val="28"/>
          <w:szCs w:val="28"/>
        </w:rPr>
      </w:pPr>
    </w:p>
    <w:p w14:paraId="5A29858B" w14:textId="77777777" w:rsidR="00671D3E" w:rsidRDefault="00671D3E" w:rsidP="00E27609">
      <w:pPr>
        <w:spacing w:line="240" w:lineRule="auto"/>
        <w:ind w:left="-851"/>
        <w:rPr>
          <w:b/>
          <w:sz w:val="28"/>
          <w:szCs w:val="28"/>
        </w:rPr>
      </w:pPr>
    </w:p>
    <w:p w14:paraId="24C33A19" w14:textId="77777777" w:rsidR="00671D3E" w:rsidRDefault="00671D3E" w:rsidP="00E27609">
      <w:pPr>
        <w:spacing w:line="240" w:lineRule="auto"/>
        <w:ind w:left="-851"/>
        <w:rPr>
          <w:b/>
          <w:sz w:val="28"/>
          <w:szCs w:val="28"/>
        </w:rPr>
      </w:pPr>
    </w:p>
    <w:p w14:paraId="28C2D55C" w14:textId="77777777" w:rsidR="00671D3E" w:rsidRDefault="00671D3E" w:rsidP="00E27609">
      <w:pPr>
        <w:spacing w:line="240" w:lineRule="auto"/>
        <w:ind w:left="-851"/>
        <w:rPr>
          <w:b/>
          <w:sz w:val="28"/>
          <w:szCs w:val="28"/>
        </w:rPr>
      </w:pPr>
    </w:p>
    <w:p w14:paraId="2A55D9D8" w14:textId="77777777" w:rsidR="00671D3E" w:rsidRDefault="00671D3E" w:rsidP="00E27609">
      <w:pPr>
        <w:spacing w:line="240" w:lineRule="auto"/>
        <w:ind w:left="-851"/>
        <w:rPr>
          <w:b/>
          <w:sz w:val="28"/>
          <w:szCs w:val="28"/>
        </w:rPr>
      </w:pPr>
    </w:p>
    <w:p w14:paraId="3192D980" w14:textId="77777777" w:rsidR="00671D3E" w:rsidRDefault="00671D3E" w:rsidP="00E27609">
      <w:pPr>
        <w:spacing w:line="240" w:lineRule="auto"/>
        <w:ind w:left="-851"/>
        <w:rPr>
          <w:b/>
          <w:sz w:val="28"/>
          <w:szCs w:val="28"/>
        </w:rPr>
      </w:pPr>
    </w:p>
    <w:p w14:paraId="722F3E24" w14:textId="77777777" w:rsidR="00671D3E" w:rsidRDefault="00671D3E" w:rsidP="00E27609">
      <w:pPr>
        <w:spacing w:line="240" w:lineRule="auto"/>
        <w:ind w:left="-851"/>
        <w:rPr>
          <w:b/>
          <w:sz w:val="28"/>
          <w:szCs w:val="28"/>
        </w:rPr>
      </w:pPr>
    </w:p>
    <w:p w14:paraId="7299DDD1" w14:textId="77777777" w:rsidR="00671D3E" w:rsidRDefault="00671D3E" w:rsidP="00E27609">
      <w:pPr>
        <w:spacing w:line="240" w:lineRule="auto"/>
        <w:ind w:left="-851"/>
        <w:rPr>
          <w:b/>
          <w:sz w:val="28"/>
          <w:szCs w:val="28"/>
        </w:rPr>
      </w:pPr>
    </w:p>
    <w:p w14:paraId="054EE727" w14:textId="77777777" w:rsidR="00671D3E" w:rsidRDefault="00671D3E" w:rsidP="00E27609">
      <w:pPr>
        <w:spacing w:line="240" w:lineRule="auto"/>
        <w:ind w:left="-851"/>
        <w:rPr>
          <w:b/>
          <w:sz w:val="28"/>
          <w:szCs w:val="28"/>
        </w:rPr>
      </w:pPr>
    </w:p>
    <w:p w14:paraId="7877ED4A" w14:textId="77777777" w:rsidR="00671D3E" w:rsidRDefault="00671D3E" w:rsidP="00E27609">
      <w:pPr>
        <w:spacing w:line="240" w:lineRule="auto"/>
        <w:ind w:left="-851"/>
        <w:rPr>
          <w:b/>
          <w:sz w:val="28"/>
          <w:szCs w:val="28"/>
        </w:rPr>
      </w:pPr>
    </w:p>
    <w:p w14:paraId="4E72A2E2" w14:textId="774DFC25" w:rsidR="003E6190" w:rsidRDefault="003E6190" w:rsidP="00BF5E0A">
      <w:pPr>
        <w:pStyle w:val="Heading1"/>
      </w:pPr>
      <w:bookmarkStart w:id="14" w:name="_2122-0054_Duncan_Buchanan"/>
      <w:bookmarkStart w:id="15" w:name="_2122-0023_Karen_Dennison"/>
      <w:bookmarkEnd w:id="14"/>
      <w:bookmarkEnd w:id="15"/>
      <w:r w:rsidRPr="003E6190">
        <w:lastRenderedPageBreak/>
        <w:t>2122-0023</w:t>
      </w:r>
      <w:r w:rsidRPr="003E6190">
        <w:tab/>
        <w:t>Karen Dennison</w:t>
      </w:r>
    </w:p>
    <w:p w14:paraId="764375D2" w14:textId="77777777" w:rsidR="003E6190" w:rsidRDefault="003E6190" w:rsidP="003E6190"/>
    <w:p w14:paraId="034A7852" w14:textId="6ACF5E0E" w:rsidR="003E6190" w:rsidRDefault="00B56D7C" w:rsidP="003E6190">
      <w:r w:rsidRPr="00B56D7C">
        <w:t>The Early Life Cohort Feasibility Study (ELC-FS)</w:t>
      </w:r>
    </w:p>
    <w:p w14:paraId="61A3CAE6" w14:textId="77777777" w:rsidR="00B56D7C" w:rsidRDefault="00B56D7C" w:rsidP="00B56D7C">
      <w:pPr>
        <w:spacing w:line="240" w:lineRule="auto"/>
        <w:jc w:val="center"/>
        <w:rPr>
          <w:rFonts w:eastAsiaTheme="minorEastAsia"/>
          <w:b/>
          <w:bCs/>
          <w:sz w:val="32"/>
          <w:szCs w:val="32"/>
        </w:rPr>
      </w:pPr>
      <w:r>
        <w:rPr>
          <w:rFonts w:eastAsiaTheme="minorEastAsia"/>
          <w:b/>
          <w:bCs/>
          <w:sz w:val="32"/>
          <w:szCs w:val="32"/>
        </w:rPr>
        <w:t>The Public Benefit Impact Summary</w:t>
      </w:r>
    </w:p>
    <w:p w14:paraId="63ABBBDC" w14:textId="77777777" w:rsidR="00B56D7C" w:rsidRDefault="00B56D7C" w:rsidP="00B56D7C">
      <w:pPr>
        <w:rPr>
          <w:b/>
        </w:rPr>
      </w:pPr>
    </w:p>
    <w:tbl>
      <w:tblPr>
        <w:tblStyle w:val="TableGrid"/>
        <w:tblW w:w="4871" w:type="pct"/>
        <w:tblLook w:val="04A0" w:firstRow="1" w:lastRow="0" w:firstColumn="1" w:lastColumn="0" w:noHBand="0" w:noVBand="1"/>
      </w:tblPr>
      <w:tblGrid>
        <w:gridCol w:w="339"/>
        <w:gridCol w:w="3359"/>
        <w:gridCol w:w="5085"/>
      </w:tblGrid>
      <w:tr w:rsidR="00B56D7C" w14:paraId="18CE77DB"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52CCC0" w14:textId="77777777" w:rsidR="00B56D7C" w:rsidRDefault="00B56D7C">
            <w:pPr>
              <w:spacing w:after="200" w:line="276" w:lineRule="auto"/>
              <w:rPr>
                <w:rFonts w:ascii="Arial" w:eastAsia="Times New Roman" w:hAnsi="Arial" w:cs="Arial"/>
                <w:lang w:eastAsia="en-GB"/>
              </w:rPr>
            </w:pPr>
            <w:r>
              <w:rPr>
                <w:lang w:eastAsia="en-GB"/>
              </w:rPr>
              <w:t>1</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85B5D1" w14:textId="77777777" w:rsidR="00B56D7C" w:rsidRDefault="00B56D7C">
            <w:pPr>
              <w:spacing w:after="200" w:line="276" w:lineRule="auto"/>
              <w:ind w:left="20"/>
              <w:rPr>
                <w:b/>
                <w:lang w:eastAsia="en-GB"/>
              </w:rPr>
            </w:pPr>
            <w:r>
              <w:rPr>
                <w:b/>
                <w:lang w:eastAsia="en-GB"/>
              </w:rPr>
              <w:t>Aims</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9D0B7B" w14:textId="77777777" w:rsidR="00B56D7C" w:rsidRDefault="00B56D7C">
            <w:pPr>
              <w:spacing w:after="200" w:line="276" w:lineRule="auto"/>
              <w:ind w:left="360"/>
              <w:rPr>
                <w:lang w:eastAsia="en-GB"/>
              </w:rPr>
            </w:pPr>
          </w:p>
        </w:tc>
      </w:tr>
      <w:tr w:rsidR="00B56D7C" w14:paraId="56823E2C" w14:textId="77777777">
        <w:trPr>
          <w:trHeight w:hRule="exact" w:val="3930"/>
        </w:trPr>
        <w:tc>
          <w:tcPr>
            <w:tcW w:w="193" w:type="pct"/>
            <w:tcBorders>
              <w:top w:val="single" w:sz="4" w:space="0" w:color="auto"/>
              <w:left w:val="single" w:sz="4" w:space="0" w:color="auto"/>
              <w:bottom w:val="single" w:sz="4" w:space="0" w:color="auto"/>
              <w:right w:val="single" w:sz="4" w:space="0" w:color="auto"/>
            </w:tcBorders>
            <w:vAlign w:val="center"/>
          </w:tcPr>
          <w:p w14:paraId="43D8BDF0"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6CFB6E8F" w14:textId="77777777" w:rsidR="00B56D7C" w:rsidRDefault="00B56D7C">
            <w:pPr>
              <w:spacing w:after="200" w:line="276" w:lineRule="auto"/>
              <w:ind w:left="20"/>
              <w:rPr>
                <w:lang w:eastAsia="en-GB"/>
              </w:rPr>
            </w:pPr>
            <w:r>
              <w:rPr>
                <w:lang w:eastAsia="en-GB"/>
              </w:rPr>
              <w:t>What did the study set out to achieve?</w:t>
            </w:r>
          </w:p>
        </w:tc>
        <w:tc>
          <w:tcPr>
            <w:tcW w:w="2895" w:type="pct"/>
            <w:tcBorders>
              <w:top w:val="single" w:sz="4" w:space="0" w:color="auto"/>
              <w:left w:val="single" w:sz="4" w:space="0" w:color="auto"/>
              <w:bottom w:val="single" w:sz="4" w:space="0" w:color="auto"/>
              <w:right w:val="single" w:sz="4" w:space="0" w:color="auto"/>
            </w:tcBorders>
            <w:vAlign w:val="center"/>
            <w:hideMark/>
          </w:tcPr>
          <w:p w14:paraId="04CD6401" w14:textId="77777777" w:rsidR="00B56D7C" w:rsidRDefault="00B56D7C">
            <w:pPr>
              <w:pStyle w:val="NoSpacing"/>
              <w:rPr>
                <w:sz w:val="24"/>
                <w:szCs w:val="24"/>
                <w:lang w:eastAsia="en-GB"/>
              </w:rPr>
            </w:pPr>
            <w:r>
              <w:rPr>
                <w:lang w:eastAsia="en-GB"/>
              </w:rPr>
              <w:t>The ELC-FS aimed to provide evidence on the potential for successful recruitment into a new national birth cohort study, and the best approach to design and measurement. The ELC-FS also aimed to collect rich data on babies, and their families, born across the UK, capturing their economic and social environments, and their health, well-being and development in the babies’ first 9 months.</w:t>
            </w:r>
          </w:p>
        </w:tc>
      </w:tr>
      <w:tr w:rsidR="00B56D7C" w14:paraId="409ABB64"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980695" w14:textId="77777777" w:rsidR="00B56D7C" w:rsidRDefault="00B56D7C">
            <w:pPr>
              <w:spacing w:after="200" w:line="276" w:lineRule="auto"/>
              <w:rPr>
                <w:lang w:eastAsia="en-GB"/>
              </w:rPr>
            </w:pPr>
            <w:r>
              <w:rPr>
                <w:lang w:eastAsia="en-GB"/>
              </w:rPr>
              <w:t>2</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4171D9" w14:textId="77777777" w:rsidR="00B56D7C" w:rsidRDefault="00B56D7C">
            <w:pPr>
              <w:spacing w:after="200" w:line="276" w:lineRule="auto"/>
              <w:ind w:left="20"/>
              <w:rPr>
                <w:b/>
                <w:lang w:eastAsia="en-GB"/>
              </w:rPr>
            </w:pPr>
            <w:r>
              <w:rPr>
                <w:b/>
                <w:lang w:eastAsia="en-GB"/>
              </w:rPr>
              <w:t>Public Benefit Impact</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B96500" w14:textId="77777777" w:rsidR="00B56D7C" w:rsidRDefault="00B56D7C">
            <w:pPr>
              <w:spacing w:after="200" w:line="276" w:lineRule="auto"/>
              <w:ind w:left="360"/>
              <w:rPr>
                <w:lang w:eastAsia="en-GB"/>
              </w:rPr>
            </w:pPr>
          </w:p>
          <w:p w14:paraId="1464A2AB" w14:textId="77777777" w:rsidR="00B56D7C" w:rsidRDefault="00B56D7C">
            <w:pPr>
              <w:spacing w:after="200" w:line="276" w:lineRule="auto"/>
              <w:rPr>
                <w:lang w:eastAsia="en-GB"/>
              </w:rPr>
            </w:pPr>
          </w:p>
          <w:p w14:paraId="73C142A6" w14:textId="77777777" w:rsidR="00B56D7C" w:rsidRDefault="00B56D7C">
            <w:pPr>
              <w:spacing w:after="200" w:line="276" w:lineRule="auto"/>
              <w:rPr>
                <w:lang w:eastAsia="en-GB"/>
              </w:rPr>
            </w:pPr>
          </w:p>
          <w:p w14:paraId="5826D3EA" w14:textId="77777777" w:rsidR="00B56D7C" w:rsidRDefault="00B56D7C">
            <w:pPr>
              <w:spacing w:after="200" w:line="276" w:lineRule="auto"/>
              <w:rPr>
                <w:lang w:eastAsia="en-GB"/>
              </w:rPr>
            </w:pPr>
          </w:p>
          <w:p w14:paraId="649C8A5A" w14:textId="77777777" w:rsidR="00B56D7C" w:rsidRDefault="00B56D7C">
            <w:pPr>
              <w:spacing w:after="200" w:line="276" w:lineRule="auto"/>
              <w:rPr>
                <w:lang w:eastAsia="en-GB"/>
              </w:rPr>
            </w:pPr>
          </w:p>
          <w:p w14:paraId="6474906F" w14:textId="77777777" w:rsidR="00B56D7C" w:rsidRDefault="00B56D7C">
            <w:pPr>
              <w:spacing w:after="200" w:line="276" w:lineRule="auto"/>
              <w:rPr>
                <w:lang w:eastAsia="en-GB"/>
              </w:rPr>
            </w:pPr>
          </w:p>
          <w:p w14:paraId="66D5E82F" w14:textId="77777777" w:rsidR="00B56D7C" w:rsidRDefault="00B56D7C">
            <w:pPr>
              <w:spacing w:after="200" w:line="276" w:lineRule="auto"/>
              <w:rPr>
                <w:lang w:eastAsia="en-GB"/>
              </w:rPr>
            </w:pPr>
          </w:p>
          <w:p w14:paraId="37394890" w14:textId="77777777" w:rsidR="00B56D7C" w:rsidRDefault="00B56D7C">
            <w:pPr>
              <w:spacing w:after="200" w:line="276" w:lineRule="auto"/>
              <w:rPr>
                <w:lang w:eastAsia="en-GB"/>
              </w:rPr>
            </w:pPr>
          </w:p>
          <w:p w14:paraId="2BA18EF6" w14:textId="77777777" w:rsidR="00B56D7C" w:rsidRDefault="00B56D7C">
            <w:pPr>
              <w:spacing w:after="200" w:line="276" w:lineRule="auto"/>
              <w:rPr>
                <w:lang w:eastAsia="en-GB"/>
              </w:rPr>
            </w:pPr>
          </w:p>
          <w:p w14:paraId="6FF63441" w14:textId="77777777" w:rsidR="00B56D7C" w:rsidRDefault="00B56D7C">
            <w:pPr>
              <w:spacing w:after="200" w:line="276" w:lineRule="auto"/>
              <w:rPr>
                <w:lang w:eastAsia="en-GB"/>
              </w:rPr>
            </w:pPr>
          </w:p>
          <w:p w14:paraId="533F86FE" w14:textId="77777777" w:rsidR="00B56D7C" w:rsidRDefault="00B56D7C">
            <w:pPr>
              <w:spacing w:after="200" w:line="276" w:lineRule="auto"/>
              <w:rPr>
                <w:lang w:eastAsia="en-GB"/>
              </w:rPr>
            </w:pPr>
          </w:p>
          <w:p w14:paraId="472A8EF9" w14:textId="77777777" w:rsidR="00B56D7C" w:rsidRDefault="00B56D7C">
            <w:pPr>
              <w:spacing w:after="200" w:line="276" w:lineRule="auto"/>
              <w:rPr>
                <w:lang w:eastAsia="en-GB"/>
              </w:rPr>
            </w:pPr>
          </w:p>
          <w:p w14:paraId="46BBB1FC" w14:textId="77777777" w:rsidR="00B56D7C" w:rsidRDefault="00B56D7C">
            <w:pPr>
              <w:spacing w:after="200" w:line="276" w:lineRule="auto"/>
              <w:rPr>
                <w:lang w:eastAsia="en-GB"/>
              </w:rPr>
            </w:pPr>
          </w:p>
          <w:p w14:paraId="29A7EDFC" w14:textId="77777777" w:rsidR="00B56D7C" w:rsidRDefault="00B56D7C">
            <w:pPr>
              <w:spacing w:after="200" w:line="276" w:lineRule="auto"/>
              <w:rPr>
                <w:lang w:eastAsia="en-GB"/>
              </w:rPr>
            </w:pPr>
          </w:p>
          <w:p w14:paraId="2A61A36E" w14:textId="77777777" w:rsidR="00B56D7C" w:rsidRDefault="00B56D7C">
            <w:pPr>
              <w:spacing w:after="200" w:line="276" w:lineRule="auto"/>
              <w:rPr>
                <w:lang w:eastAsia="en-GB"/>
              </w:rPr>
            </w:pPr>
          </w:p>
          <w:p w14:paraId="7EC7865A" w14:textId="77777777" w:rsidR="00B56D7C" w:rsidRDefault="00B56D7C">
            <w:pPr>
              <w:spacing w:after="200" w:line="276" w:lineRule="auto"/>
              <w:rPr>
                <w:lang w:eastAsia="en-GB"/>
              </w:rPr>
            </w:pPr>
          </w:p>
          <w:p w14:paraId="477A3144" w14:textId="77777777" w:rsidR="00B56D7C" w:rsidRDefault="00B56D7C">
            <w:pPr>
              <w:spacing w:after="200" w:line="276" w:lineRule="auto"/>
              <w:rPr>
                <w:lang w:eastAsia="en-GB"/>
              </w:rPr>
            </w:pPr>
          </w:p>
          <w:p w14:paraId="35C0E03C" w14:textId="77777777" w:rsidR="00B56D7C" w:rsidRDefault="00B56D7C">
            <w:pPr>
              <w:spacing w:after="200" w:line="276" w:lineRule="auto"/>
              <w:rPr>
                <w:lang w:eastAsia="en-GB"/>
              </w:rPr>
            </w:pPr>
          </w:p>
          <w:p w14:paraId="4367322B" w14:textId="77777777" w:rsidR="00B56D7C" w:rsidRDefault="00B56D7C">
            <w:pPr>
              <w:spacing w:after="200" w:line="276" w:lineRule="auto"/>
              <w:rPr>
                <w:lang w:eastAsia="en-GB"/>
              </w:rPr>
            </w:pPr>
          </w:p>
          <w:p w14:paraId="68FC6353" w14:textId="77777777" w:rsidR="00B56D7C" w:rsidRDefault="00B56D7C">
            <w:pPr>
              <w:spacing w:after="200" w:line="276" w:lineRule="auto"/>
              <w:rPr>
                <w:lang w:eastAsia="en-GB"/>
              </w:rPr>
            </w:pPr>
          </w:p>
          <w:p w14:paraId="357B60D6" w14:textId="77777777" w:rsidR="00B56D7C" w:rsidRDefault="00B56D7C">
            <w:pPr>
              <w:spacing w:after="200" w:line="276" w:lineRule="auto"/>
              <w:rPr>
                <w:lang w:eastAsia="en-GB"/>
              </w:rPr>
            </w:pPr>
          </w:p>
          <w:p w14:paraId="593ECAFB" w14:textId="77777777" w:rsidR="00B56D7C" w:rsidRDefault="00B56D7C">
            <w:pPr>
              <w:spacing w:after="200" w:line="276" w:lineRule="auto"/>
              <w:rPr>
                <w:lang w:eastAsia="en-GB"/>
              </w:rPr>
            </w:pPr>
          </w:p>
          <w:p w14:paraId="58FDE5D6" w14:textId="77777777" w:rsidR="00B56D7C" w:rsidRDefault="00B56D7C">
            <w:pPr>
              <w:spacing w:after="200" w:line="276" w:lineRule="auto"/>
              <w:rPr>
                <w:lang w:eastAsia="en-GB"/>
              </w:rPr>
            </w:pPr>
          </w:p>
          <w:p w14:paraId="1F6716BD" w14:textId="77777777" w:rsidR="00B56D7C" w:rsidRDefault="00B56D7C">
            <w:pPr>
              <w:spacing w:after="200" w:line="276" w:lineRule="auto"/>
              <w:rPr>
                <w:lang w:eastAsia="en-GB"/>
              </w:rPr>
            </w:pPr>
          </w:p>
          <w:p w14:paraId="50E01BE3" w14:textId="77777777" w:rsidR="00B56D7C" w:rsidRDefault="00B56D7C">
            <w:pPr>
              <w:spacing w:after="200" w:line="276" w:lineRule="auto"/>
              <w:rPr>
                <w:lang w:eastAsia="en-GB"/>
              </w:rPr>
            </w:pPr>
          </w:p>
        </w:tc>
      </w:tr>
      <w:tr w:rsidR="00B56D7C" w14:paraId="2E020FBB" w14:textId="77777777">
        <w:trPr>
          <w:trHeight w:hRule="exact" w:val="13852"/>
        </w:trPr>
        <w:tc>
          <w:tcPr>
            <w:tcW w:w="193" w:type="pct"/>
            <w:tcBorders>
              <w:top w:val="single" w:sz="4" w:space="0" w:color="auto"/>
              <w:left w:val="single" w:sz="4" w:space="0" w:color="auto"/>
              <w:bottom w:val="single" w:sz="4" w:space="0" w:color="auto"/>
              <w:right w:val="single" w:sz="4" w:space="0" w:color="auto"/>
            </w:tcBorders>
            <w:vAlign w:val="center"/>
          </w:tcPr>
          <w:p w14:paraId="0B13C2B3"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tcPr>
          <w:p w14:paraId="1020F890" w14:textId="77777777" w:rsidR="00B56D7C" w:rsidRDefault="00B56D7C">
            <w:pPr>
              <w:spacing w:after="200" w:line="276" w:lineRule="auto"/>
              <w:ind w:left="20"/>
              <w:rPr>
                <w:lang w:eastAsia="en-GB"/>
              </w:rPr>
            </w:pPr>
            <w:r>
              <w:rPr>
                <w:lang w:eastAsia="en-GB"/>
              </w:rPr>
              <w:t>How will these outcomes directly result in benefit for the public? Please give details. This should be the main section answered.</w:t>
            </w:r>
          </w:p>
          <w:p w14:paraId="5BEC743E" w14:textId="77777777" w:rsidR="00B56D7C" w:rsidRDefault="00B56D7C">
            <w:pPr>
              <w:spacing w:after="200" w:line="276" w:lineRule="auto"/>
              <w:ind w:left="20"/>
              <w:rPr>
                <w:lang w:eastAsia="en-GB"/>
              </w:rPr>
            </w:pPr>
          </w:p>
          <w:p w14:paraId="193456C0" w14:textId="77777777" w:rsidR="00B56D7C" w:rsidRDefault="00B56D7C">
            <w:pPr>
              <w:spacing w:after="200" w:line="276" w:lineRule="auto"/>
              <w:ind w:left="20"/>
              <w:rPr>
                <w:lang w:eastAsia="en-GB"/>
              </w:rPr>
            </w:pPr>
          </w:p>
          <w:p w14:paraId="07F0D0A1" w14:textId="77777777" w:rsidR="00B56D7C" w:rsidRDefault="00B56D7C">
            <w:pPr>
              <w:spacing w:after="200" w:line="276" w:lineRule="auto"/>
              <w:ind w:left="20"/>
              <w:rPr>
                <w:lang w:eastAsia="en-GB"/>
              </w:rPr>
            </w:pPr>
          </w:p>
          <w:p w14:paraId="3C8071E7" w14:textId="77777777" w:rsidR="00B56D7C" w:rsidRDefault="00B56D7C">
            <w:pPr>
              <w:spacing w:after="200" w:line="276" w:lineRule="auto"/>
              <w:ind w:left="20"/>
              <w:rPr>
                <w:lang w:eastAsia="en-GB"/>
              </w:rPr>
            </w:pPr>
          </w:p>
          <w:p w14:paraId="269E7459" w14:textId="77777777" w:rsidR="00B56D7C" w:rsidRDefault="00B56D7C">
            <w:pPr>
              <w:spacing w:after="200" w:line="276" w:lineRule="auto"/>
              <w:ind w:left="20"/>
              <w:rPr>
                <w:lang w:eastAsia="en-GB"/>
              </w:rPr>
            </w:pPr>
          </w:p>
          <w:p w14:paraId="27E25479" w14:textId="77777777" w:rsidR="00B56D7C" w:rsidRDefault="00B56D7C">
            <w:pPr>
              <w:spacing w:after="200" w:line="276" w:lineRule="auto"/>
              <w:ind w:left="20"/>
              <w:rPr>
                <w:lang w:eastAsia="en-GB"/>
              </w:rPr>
            </w:pPr>
          </w:p>
          <w:p w14:paraId="30CF6D24" w14:textId="77777777" w:rsidR="00B56D7C" w:rsidRDefault="00B56D7C">
            <w:pPr>
              <w:spacing w:after="200" w:line="276" w:lineRule="auto"/>
              <w:ind w:left="20"/>
              <w:rPr>
                <w:lang w:eastAsia="en-GB"/>
              </w:rPr>
            </w:pPr>
          </w:p>
        </w:tc>
        <w:tc>
          <w:tcPr>
            <w:tcW w:w="2895" w:type="pct"/>
            <w:tcBorders>
              <w:top w:val="single" w:sz="4" w:space="0" w:color="auto"/>
              <w:left w:val="single" w:sz="4" w:space="0" w:color="auto"/>
              <w:bottom w:val="single" w:sz="4" w:space="0" w:color="auto"/>
              <w:right w:val="single" w:sz="4" w:space="0" w:color="auto"/>
            </w:tcBorders>
          </w:tcPr>
          <w:p w14:paraId="209AC6FC" w14:textId="77777777" w:rsidR="00B56D7C" w:rsidRDefault="00B56D7C">
            <w:pPr>
              <w:pStyle w:val="NoSpacing"/>
              <w:rPr>
                <w:sz w:val="24"/>
                <w:szCs w:val="24"/>
                <w:lang w:eastAsia="en-GB"/>
              </w:rPr>
            </w:pPr>
            <w:r>
              <w:rPr>
                <w:lang w:eastAsia="en-GB"/>
              </w:rPr>
              <w:t>The ELC-FS was a UK-wide research study funded by the Economic and Social Research Council (ESRC). The ELC-FS tested whether it would be possible to invite women who give birth and live in Scotland to participate in a much larger UK-wide research study, which is due to start in 2026. This will be the first UK-wide birth cohort study in over twenty years and a highly significant strategic and scientific investment for ESRC and UK social science, with a grant value of £42.8m from 2025-2031.</w:t>
            </w:r>
          </w:p>
          <w:p w14:paraId="6CD08145" w14:textId="77777777" w:rsidR="00B56D7C" w:rsidRDefault="00B56D7C">
            <w:pPr>
              <w:pStyle w:val="NoSpacing"/>
              <w:rPr>
                <w:lang w:eastAsia="en-GB"/>
              </w:rPr>
            </w:pPr>
          </w:p>
          <w:p w14:paraId="15FC1819" w14:textId="77777777" w:rsidR="00B56D7C" w:rsidRDefault="00B56D7C">
            <w:pPr>
              <w:pStyle w:val="NoSpacing"/>
              <w:rPr>
                <w:lang w:eastAsia="en-GB"/>
              </w:rPr>
            </w:pPr>
            <w:r>
              <w:rPr>
                <w:lang w:eastAsia="en-GB"/>
              </w:rPr>
              <w:t>The ELC-FS has also collected data of substantive value in itself and is a relatively large study of value for the research and policy community, generalisable to the UK population. During 2023/24, 1,918 families participated (1002 England, 277 Wales, 319 Scotland</w:t>
            </w:r>
            <w:r>
              <w:rPr>
                <w:b/>
                <w:bCs/>
                <w:lang w:eastAsia="en-GB"/>
              </w:rPr>
              <w:t xml:space="preserve"> </w:t>
            </w:r>
            <w:r>
              <w:rPr>
                <w:lang w:eastAsia="en-GB"/>
              </w:rPr>
              <w:t>and 320 Northern Ireland).</w:t>
            </w:r>
          </w:p>
          <w:p w14:paraId="03353D72" w14:textId="77777777" w:rsidR="00B56D7C" w:rsidRDefault="00B56D7C">
            <w:pPr>
              <w:pStyle w:val="NoSpacing"/>
              <w:rPr>
                <w:lang w:eastAsia="en-GB"/>
              </w:rPr>
            </w:pPr>
          </w:p>
          <w:p w14:paraId="2C82E108" w14:textId="77777777" w:rsidR="00B56D7C" w:rsidRDefault="00B56D7C">
            <w:pPr>
              <w:pStyle w:val="NoSpacing"/>
              <w:rPr>
                <w:lang w:eastAsia="en-GB"/>
              </w:rPr>
            </w:pPr>
            <w:r>
              <w:rPr>
                <w:rFonts w:eastAsia="Arial"/>
                <w:color w:val="201F1E"/>
              </w:rPr>
              <w:t>Since the feasibility study was designed to provide evidence to enable a main study to be commissioned, their public benefits are very closely aligned</w:t>
            </w:r>
            <w:r>
              <w:rPr>
                <w:rFonts w:eastAsia="Calibri"/>
                <w:color w:val="201F1E"/>
              </w:rPr>
              <w:t>.</w:t>
            </w:r>
            <w:r>
              <w:rPr>
                <w:color w:val="201F1E"/>
              </w:rPr>
              <w:t xml:space="preserve"> </w:t>
            </w:r>
            <w:r>
              <w:rPr>
                <w:lang w:eastAsia="en-GB"/>
              </w:rPr>
              <w:t xml:space="preserve">The data collected from families in the ELC-FS </w:t>
            </w:r>
            <w:r>
              <w:rPr>
                <w:rFonts w:eastAsia="Arial"/>
                <w:color w:val="201F1E"/>
              </w:rPr>
              <w:t>are in the process of being deposited</w:t>
            </w:r>
            <w:r>
              <w:rPr>
                <w:lang w:eastAsia="en-GB"/>
              </w:rPr>
              <w:t xml:space="preserve"> in pseudonymised form with the UK Data Service and will enable a range of important scientific questions to be addressed, leading to strong public benefits. </w:t>
            </w:r>
          </w:p>
          <w:p w14:paraId="33FFC69A" w14:textId="77777777" w:rsidR="00B56D7C" w:rsidRDefault="00B56D7C">
            <w:pPr>
              <w:pStyle w:val="NoSpacing"/>
              <w:rPr>
                <w:lang w:eastAsia="en-GB"/>
              </w:rPr>
            </w:pPr>
          </w:p>
          <w:p w14:paraId="7672D27D" w14:textId="77777777" w:rsidR="00B56D7C" w:rsidRDefault="00B56D7C">
            <w:pPr>
              <w:pStyle w:val="NoSpacing"/>
              <w:rPr>
                <w:lang w:eastAsia="en-GB"/>
              </w:rPr>
            </w:pPr>
            <w:r>
              <w:rPr>
                <w:lang w:eastAsia="en-GB"/>
              </w:rPr>
              <w:t xml:space="preserve">The main study will collect rich, longitudinal data on a 30,000-strong cohort of infants born across the UK in the mid-2020s, providing urgently needed data for science, practice and policy on a new generation of children and families. The study will paint a nationally representative picture of the early environments shaping the developmental, social, and health trajectories of children in a period of unprecedented social, technological, and environmental change. The study will ensure that traditionally under-represented and 'seldom-heard' populations are well represented from the outset and retained in sufficient numbers over time.  </w:t>
            </w:r>
          </w:p>
        </w:tc>
      </w:tr>
      <w:tr w:rsidR="00B56D7C" w14:paraId="3FC74218"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223866" w14:textId="77777777" w:rsidR="00B56D7C" w:rsidRDefault="00B56D7C">
            <w:pPr>
              <w:spacing w:after="200" w:line="276" w:lineRule="auto"/>
              <w:rPr>
                <w:lang w:eastAsia="en-GB"/>
              </w:rPr>
            </w:pPr>
            <w:r>
              <w:rPr>
                <w:lang w:eastAsia="en-GB"/>
              </w:rPr>
              <w:lastRenderedPageBreak/>
              <w:t>3</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DA751F" w14:textId="77777777" w:rsidR="00B56D7C" w:rsidRDefault="00B56D7C">
            <w:pPr>
              <w:spacing w:after="200" w:line="276" w:lineRule="auto"/>
              <w:ind w:left="20"/>
              <w:rPr>
                <w:b/>
                <w:lang w:eastAsia="en-GB"/>
              </w:rPr>
            </w:pPr>
            <w:r>
              <w:rPr>
                <w:b/>
                <w:lang w:eastAsia="en-GB"/>
              </w:rPr>
              <w:t xml:space="preserve">Data </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CC1ED2" w14:textId="77777777" w:rsidR="00B56D7C" w:rsidRDefault="00B56D7C">
            <w:pPr>
              <w:spacing w:after="200" w:line="276" w:lineRule="auto"/>
              <w:ind w:left="360"/>
              <w:rPr>
                <w:lang w:eastAsia="en-GB"/>
              </w:rPr>
            </w:pPr>
          </w:p>
        </w:tc>
      </w:tr>
      <w:tr w:rsidR="00B56D7C" w14:paraId="1B60E039" w14:textId="77777777">
        <w:trPr>
          <w:trHeight w:hRule="exact" w:val="2648"/>
        </w:trPr>
        <w:tc>
          <w:tcPr>
            <w:tcW w:w="193" w:type="pct"/>
            <w:tcBorders>
              <w:top w:val="single" w:sz="4" w:space="0" w:color="auto"/>
              <w:left w:val="single" w:sz="4" w:space="0" w:color="auto"/>
              <w:bottom w:val="single" w:sz="4" w:space="0" w:color="auto"/>
              <w:right w:val="single" w:sz="4" w:space="0" w:color="auto"/>
            </w:tcBorders>
            <w:vAlign w:val="center"/>
          </w:tcPr>
          <w:p w14:paraId="5A3F6A75"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4DE3FF3E" w14:textId="77777777" w:rsidR="00B56D7C" w:rsidRDefault="00B56D7C">
            <w:pPr>
              <w:spacing w:after="200" w:line="276" w:lineRule="auto"/>
              <w:ind w:left="20"/>
              <w:rPr>
                <w:lang w:eastAsia="en-GB"/>
              </w:rPr>
            </w:pPr>
            <w:r>
              <w:rPr>
                <w:lang w:eastAsia="en-GB"/>
              </w:rPr>
              <w:t xml:space="preserve">What data were received/processed/collected? </w:t>
            </w:r>
          </w:p>
          <w:p w14:paraId="3EC3C737" w14:textId="77777777" w:rsidR="00B56D7C" w:rsidRDefault="00B56D7C">
            <w:pPr>
              <w:spacing w:after="200" w:line="276" w:lineRule="auto"/>
              <w:ind w:left="20"/>
              <w:rPr>
                <w:lang w:eastAsia="en-GB"/>
              </w:rPr>
            </w:pPr>
            <w:r>
              <w:rPr>
                <w:lang w:eastAsia="en-GB"/>
              </w:rPr>
              <w:t>Was it as expected? Please give brief details.</w:t>
            </w:r>
          </w:p>
        </w:tc>
        <w:tc>
          <w:tcPr>
            <w:tcW w:w="2895" w:type="pct"/>
            <w:tcBorders>
              <w:top w:val="single" w:sz="4" w:space="0" w:color="auto"/>
              <w:left w:val="single" w:sz="4" w:space="0" w:color="auto"/>
              <w:bottom w:val="single" w:sz="4" w:space="0" w:color="auto"/>
              <w:right w:val="single" w:sz="4" w:space="0" w:color="auto"/>
            </w:tcBorders>
            <w:vAlign w:val="center"/>
          </w:tcPr>
          <w:p w14:paraId="77BE4CB6" w14:textId="77777777" w:rsidR="00B56D7C" w:rsidRDefault="00B56D7C">
            <w:pPr>
              <w:pStyle w:val="NoSpacing"/>
              <w:rPr>
                <w:sz w:val="24"/>
                <w:szCs w:val="24"/>
                <w:lang w:eastAsia="en-GB"/>
              </w:rPr>
            </w:pPr>
            <w:r>
              <w:rPr>
                <w:lang w:eastAsia="en-GB"/>
              </w:rPr>
              <w:t>Fields from PHS maternity records linked to NRS birth registrations, addresses for mothers, fathers and babies. Address updates and death notifications from central databases. These were used to contact families to invite them to participate in the study. Survey data and saliva samples for DNA extraction were collected from consenting participants.</w:t>
            </w:r>
          </w:p>
          <w:p w14:paraId="5A91EA1C" w14:textId="77777777" w:rsidR="00B56D7C" w:rsidRDefault="00B56D7C">
            <w:pPr>
              <w:pStyle w:val="NoSpacing"/>
              <w:rPr>
                <w:lang w:eastAsia="en-GB"/>
              </w:rPr>
            </w:pPr>
          </w:p>
          <w:p w14:paraId="2ACF2816" w14:textId="77777777" w:rsidR="00B56D7C" w:rsidRDefault="00B56D7C">
            <w:pPr>
              <w:pStyle w:val="NoSpacing"/>
              <w:rPr>
                <w:lang w:eastAsia="en-GB"/>
              </w:rPr>
            </w:pPr>
            <w:r>
              <w:rPr>
                <w:lang w:eastAsia="en-GB"/>
              </w:rPr>
              <w:t>Yes, data were as expected.</w:t>
            </w:r>
          </w:p>
          <w:p w14:paraId="6841ADC1" w14:textId="77777777" w:rsidR="00B56D7C" w:rsidRDefault="00B56D7C">
            <w:pPr>
              <w:pStyle w:val="NoSpacing"/>
              <w:rPr>
                <w:lang w:eastAsia="en-GB"/>
              </w:rPr>
            </w:pPr>
          </w:p>
          <w:p w14:paraId="3AB3B62E" w14:textId="77777777" w:rsidR="00B56D7C" w:rsidRDefault="00B56D7C">
            <w:pPr>
              <w:pStyle w:val="NoSpacing"/>
              <w:rPr>
                <w:lang w:eastAsia="en-GB"/>
              </w:rPr>
            </w:pPr>
          </w:p>
        </w:tc>
      </w:tr>
      <w:tr w:rsidR="00B56D7C" w14:paraId="481411A2"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86B88E" w14:textId="77777777" w:rsidR="00B56D7C" w:rsidRDefault="00B56D7C">
            <w:pPr>
              <w:spacing w:after="200" w:line="276" w:lineRule="auto"/>
              <w:rPr>
                <w:lang w:eastAsia="en-GB"/>
              </w:rPr>
            </w:pPr>
            <w:r>
              <w:rPr>
                <w:lang w:eastAsia="en-GB"/>
              </w:rPr>
              <w:t>4</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631539" w14:textId="77777777" w:rsidR="00B56D7C" w:rsidRDefault="00B56D7C">
            <w:pPr>
              <w:spacing w:after="200" w:line="276" w:lineRule="auto"/>
              <w:ind w:left="20"/>
              <w:rPr>
                <w:b/>
                <w:bCs/>
                <w:lang w:eastAsia="en-GB"/>
              </w:rPr>
            </w:pPr>
            <w:r>
              <w:rPr>
                <w:b/>
                <w:bCs/>
                <w:lang w:eastAsia="en-GB"/>
              </w:rPr>
              <w:t xml:space="preserve">Methodology </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320C71" w14:textId="77777777" w:rsidR="00B56D7C" w:rsidRDefault="00B56D7C">
            <w:pPr>
              <w:spacing w:after="200" w:line="276" w:lineRule="auto"/>
              <w:ind w:left="360"/>
              <w:rPr>
                <w:lang w:eastAsia="en-GB"/>
              </w:rPr>
            </w:pPr>
          </w:p>
        </w:tc>
      </w:tr>
      <w:tr w:rsidR="00B56D7C" w14:paraId="2B686121" w14:textId="77777777">
        <w:trPr>
          <w:trHeight w:val="278"/>
        </w:trPr>
        <w:tc>
          <w:tcPr>
            <w:tcW w:w="193" w:type="pct"/>
            <w:vMerge w:val="restart"/>
            <w:tcBorders>
              <w:top w:val="single" w:sz="4" w:space="0" w:color="auto"/>
              <w:left w:val="single" w:sz="4" w:space="0" w:color="auto"/>
              <w:bottom w:val="single" w:sz="4" w:space="0" w:color="auto"/>
              <w:right w:val="single" w:sz="4" w:space="0" w:color="auto"/>
            </w:tcBorders>
            <w:vAlign w:val="center"/>
          </w:tcPr>
          <w:p w14:paraId="44F551BD"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124D89FE" w14:textId="77777777" w:rsidR="00B56D7C" w:rsidRDefault="00B56D7C">
            <w:pPr>
              <w:spacing w:after="200" w:line="276" w:lineRule="auto"/>
              <w:ind w:left="20"/>
              <w:rPr>
                <w:lang w:eastAsia="en-GB"/>
              </w:rPr>
            </w:pPr>
            <w:r>
              <w:rPr>
                <w:lang w:eastAsia="en-GB"/>
              </w:rPr>
              <w:t>How did you collect the data?</w:t>
            </w:r>
          </w:p>
        </w:tc>
        <w:tc>
          <w:tcPr>
            <w:tcW w:w="2895" w:type="pct"/>
            <w:tcBorders>
              <w:top w:val="single" w:sz="4" w:space="0" w:color="auto"/>
              <w:left w:val="single" w:sz="4" w:space="0" w:color="auto"/>
              <w:bottom w:val="single" w:sz="4" w:space="0" w:color="auto"/>
              <w:right w:val="single" w:sz="4" w:space="0" w:color="auto"/>
            </w:tcBorders>
            <w:vAlign w:val="center"/>
            <w:hideMark/>
          </w:tcPr>
          <w:p w14:paraId="43B38FF1" w14:textId="77777777" w:rsidR="00B56D7C" w:rsidRDefault="00B56D7C">
            <w:pPr>
              <w:spacing w:line="360" w:lineRule="auto"/>
              <w:rPr>
                <w:lang w:eastAsia="en-GB"/>
              </w:rPr>
            </w:pPr>
            <w:r>
              <w:rPr>
                <w:lang w:eastAsia="en-GB"/>
              </w:rPr>
              <w:t>The sampling frame data were provided to Ipsos by NRS and CHILI. Ipsos transferred data to UCL.</w:t>
            </w:r>
          </w:p>
          <w:p w14:paraId="5AA5F301" w14:textId="77777777" w:rsidR="00B56D7C" w:rsidRDefault="00B56D7C">
            <w:pPr>
              <w:spacing w:line="360" w:lineRule="auto"/>
              <w:rPr>
                <w:lang w:eastAsia="en-GB"/>
              </w:rPr>
            </w:pPr>
            <w:r>
              <w:rPr>
                <w:lang w:eastAsia="en-GB"/>
              </w:rPr>
              <w:t>Ipsos collected survey data and saliva samples from participating/consenting families.</w:t>
            </w:r>
          </w:p>
        </w:tc>
      </w:tr>
      <w:tr w:rsidR="00B56D7C" w14:paraId="14BE7DC7" w14:textId="77777777">
        <w:trPr>
          <w:trHeight w:hRule="exact" w:val="1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2FAD0" w14:textId="77777777" w:rsidR="00B56D7C" w:rsidRDefault="00B56D7C">
            <w:pPr>
              <w:rPr>
                <w:rFonts w:ascii="Arial" w:eastAsia="Times New Roman" w:hAnsi="Arial" w:cs="Arial"/>
                <w:lang w:eastAsia="en-GB"/>
              </w:rPr>
            </w:pPr>
          </w:p>
        </w:tc>
        <w:tc>
          <w:tcPr>
            <w:tcW w:w="1912" w:type="pct"/>
            <w:tcBorders>
              <w:top w:val="single" w:sz="4" w:space="0" w:color="auto"/>
              <w:left w:val="single" w:sz="4" w:space="0" w:color="auto"/>
              <w:bottom w:val="single" w:sz="4" w:space="0" w:color="auto"/>
              <w:right w:val="single" w:sz="4" w:space="0" w:color="auto"/>
            </w:tcBorders>
            <w:vAlign w:val="center"/>
          </w:tcPr>
          <w:p w14:paraId="163CF6E0" w14:textId="77777777" w:rsidR="00B56D7C" w:rsidRDefault="00B56D7C">
            <w:pPr>
              <w:spacing w:after="200" w:line="276" w:lineRule="auto"/>
              <w:ind w:left="20"/>
              <w:rPr>
                <w:lang w:eastAsia="en-GB"/>
              </w:rPr>
            </w:pPr>
            <w:r>
              <w:rPr>
                <w:lang w:eastAsia="en-GB"/>
              </w:rPr>
              <w:t xml:space="preserve">How did you process the data? </w:t>
            </w:r>
          </w:p>
          <w:p w14:paraId="3BD7A5C6" w14:textId="77777777" w:rsidR="00B56D7C" w:rsidRDefault="00B56D7C">
            <w:pPr>
              <w:spacing w:after="200" w:line="276" w:lineRule="auto"/>
              <w:ind w:left="20"/>
              <w:rPr>
                <w:lang w:eastAsia="en-GB"/>
              </w:rPr>
            </w:pPr>
          </w:p>
        </w:tc>
        <w:tc>
          <w:tcPr>
            <w:tcW w:w="2895" w:type="pct"/>
            <w:tcBorders>
              <w:top w:val="single" w:sz="4" w:space="0" w:color="auto"/>
              <w:left w:val="single" w:sz="4" w:space="0" w:color="auto"/>
              <w:bottom w:val="single" w:sz="4" w:space="0" w:color="auto"/>
              <w:right w:val="single" w:sz="4" w:space="0" w:color="auto"/>
            </w:tcBorders>
            <w:vAlign w:val="center"/>
            <w:hideMark/>
          </w:tcPr>
          <w:p w14:paraId="5AFF71D2" w14:textId="77777777" w:rsidR="00B56D7C" w:rsidRDefault="00B56D7C">
            <w:pPr>
              <w:spacing w:after="200" w:line="276" w:lineRule="auto"/>
              <w:ind w:left="20"/>
              <w:rPr>
                <w:lang w:eastAsia="en-GB"/>
              </w:rPr>
            </w:pPr>
            <w:r>
              <w:rPr>
                <w:lang w:eastAsia="en-GB"/>
              </w:rPr>
              <w:t>Ipsos used the data under contract to UCL to contact families to invite them to participate. UCL used the data to conduct non-response analysis.</w:t>
            </w:r>
          </w:p>
        </w:tc>
      </w:tr>
      <w:tr w:rsidR="00B56D7C" w14:paraId="30E02BF0" w14:textId="77777777">
        <w:trPr>
          <w:trHeight w:hRule="exact" w:val="28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BF1C3" w14:textId="77777777" w:rsidR="00B56D7C" w:rsidRDefault="00B56D7C">
            <w:pPr>
              <w:rPr>
                <w:rFonts w:ascii="Arial" w:eastAsia="Times New Roman" w:hAnsi="Arial" w:cs="Arial"/>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78A6C810" w14:textId="77777777" w:rsidR="00B56D7C" w:rsidRDefault="00B56D7C">
            <w:pPr>
              <w:spacing w:after="200" w:line="276" w:lineRule="auto"/>
              <w:ind w:left="20"/>
              <w:rPr>
                <w:lang w:eastAsia="en-GB"/>
              </w:rPr>
            </w:pPr>
            <w:r>
              <w:rPr>
                <w:lang w:eastAsia="en-GB"/>
              </w:rPr>
              <w:t>How did you provision/publish the information?</w:t>
            </w:r>
          </w:p>
        </w:tc>
        <w:tc>
          <w:tcPr>
            <w:tcW w:w="2895" w:type="pct"/>
            <w:tcBorders>
              <w:top w:val="single" w:sz="4" w:space="0" w:color="auto"/>
              <w:left w:val="single" w:sz="4" w:space="0" w:color="auto"/>
              <w:bottom w:val="single" w:sz="4" w:space="0" w:color="auto"/>
              <w:right w:val="single" w:sz="4" w:space="0" w:color="auto"/>
            </w:tcBorders>
            <w:vAlign w:val="center"/>
          </w:tcPr>
          <w:p w14:paraId="31560254" w14:textId="77777777" w:rsidR="00B56D7C" w:rsidRDefault="00B56D7C">
            <w:pPr>
              <w:pStyle w:val="NoSpacing"/>
              <w:rPr>
                <w:sz w:val="24"/>
                <w:szCs w:val="24"/>
                <w:lang w:eastAsia="en-GB"/>
              </w:rPr>
            </w:pPr>
            <w:r>
              <w:rPr>
                <w:lang w:eastAsia="en-GB"/>
              </w:rPr>
              <w:t>Deliverables (22 reports) on the outcome of the study were provided to the ESRC.</w:t>
            </w:r>
          </w:p>
          <w:p w14:paraId="4BA41560" w14:textId="77777777" w:rsidR="00B56D7C" w:rsidRDefault="00B56D7C">
            <w:pPr>
              <w:pStyle w:val="NoSpacing"/>
              <w:rPr>
                <w:lang w:eastAsia="en-GB"/>
              </w:rPr>
            </w:pPr>
          </w:p>
          <w:p w14:paraId="70D4DAF0" w14:textId="77777777" w:rsidR="00B56D7C" w:rsidRDefault="00B56D7C">
            <w:pPr>
              <w:pStyle w:val="NoSpacing"/>
              <w:rPr>
                <w:lang w:eastAsia="en-GB"/>
              </w:rPr>
            </w:pPr>
            <w:r>
              <w:rPr>
                <w:lang w:eastAsia="en-GB"/>
              </w:rPr>
              <w:t>Pseudonymised survey data collected from participants are being deposited with the UK Data Service for research purposes. The study team has presented at a range of conferences and workshops and published papers.</w:t>
            </w:r>
          </w:p>
        </w:tc>
      </w:tr>
      <w:tr w:rsidR="00B56D7C" w14:paraId="657570C5" w14:textId="77777777">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26EAE" w14:textId="77777777" w:rsidR="00B56D7C" w:rsidRDefault="00B56D7C">
            <w:pPr>
              <w:rPr>
                <w:rFonts w:ascii="Arial" w:eastAsia="Times New Roman" w:hAnsi="Arial" w:cs="Arial"/>
                <w:lang w:eastAsia="en-GB"/>
              </w:rPr>
            </w:pPr>
          </w:p>
        </w:tc>
        <w:tc>
          <w:tcPr>
            <w:tcW w:w="1912" w:type="pct"/>
            <w:tcBorders>
              <w:top w:val="single" w:sz="4" w:space="0" w:color="auto"/>
              <w:left w:val="single" w:sz="4" w:space="0" w:color="auto"/>
              <w:bottom w:val="single" w:sz="4" w:space="0" w:color="auto"/>
              <w:right w:val="single" w:sz="4" w:space="0" w:color="auto"/>
            </w:tcBorders>
            <w:vAlign w:val="center"/>
          </w:tcPr>
          <w:p w14:paraId="2F5CD08B" w14:textId="77777777" w:rsidR="00B56D7C" w:rsidRDefault="00B56D7C">
            <w:pPr>
              <w:spacing w:after="200" w:line="276" w:lineRule="auto"/>
              <w:ind w:left="20"/>
              <w:rPr>
                <w:lang w:eastAsia="en-GB"/>
              </w:rPr>
            </w:pPr>
            <w:r>
              <w:rPr>
                <w:lang w:eastAsia="en-GB"/>
              </w:rPr>
              <w:t>Did your study scope change from its original aims? Please give brief details.</w:t>
            </w:r>
          </w:p>
          <w:p w14:paraId="16B93B57" w14:textId="77777777" w:rsidR="00B56D7C" w:rsidRDefault="00B56D7C">
            <w:pPr>
              <w:spacing w:after="200" w:line="276" w:lineRule="auto"/>
              <w:ind w:left="20"/>
              <w:rPr>
                <w:lang w:eastAsia="en-GB"/>
              </w:rPr>
            </w:pPr>
          </w:p>
        </w:tc>
        <w:tc>
          <w:tcPr>
            <w:tcW w:w="2895" w:type="pct"/>
            <w:tcBorders>
              <w:top w:val="single" w:sz="4" w:space="0" w:color="auto"/>
              <w:left w:val="single" w:sz="4" w:space="0" w:color="auto"/>
              <w:bottom w:val="single" w:sz="4" w:space="0" w:color="auto"/>
              <w:right w:val="single" w:sz="4" w:space="0" w:color="auto"/>
            </w:tcBorders>
            <w:vAlign w:val="center"/>
            <w:hideMark/>
          </w:tcPr>
          <w:p w14:paraId="5B264016" w14:textId="77777777" w:rsidR="00B56D7C" w:rsidRDefault="00B56D7C">
            <w:pPr>
              <w:spacing w:line="360" w:lineRule="auto"/>
              <w:rPr>
                <w:lang w:eastAsia="en-GB"/>
              </w:rPr>
            </w:pPr>
            <w:r>
              <w:rPr>
                <w:lang w:eastAsia="en-GB"/>
              </w:rPr>
              <w:t>No.</w:t>
            </w:r>
          </w:p>
        </w:tc>
      </w:tr>
      <w:tr w:rsidR="00B56D7C" w14:paraId="15FFF878"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741B2B" w14:textId="77777777" w:rsidR="00B56D7C" w:rsidRDefault="00B56D7C">
            <w:pPr>
              <w:spacing w:after="200" w:line="276" w:lineRule="auto"/>
              <w:rPr>
                <w:lang w:eastAsia="en-GB"/>
              </w:rPr>
            </w:pPr>
            <w:r>
              <w:rPr>
                <w:lang w:eastAsia="en-GB"/>
              </w:rPr>
              <w:t>5</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432626" w14:textId="77777777" w:rsidR="00B56D7C" w:rsidRDefault="00B56D7C">
            <w:pPr>
              <w:spacing w:after="200" w:line="276" w:lineRule="auto"/>
              <w:ind w:left="20"/>
              <w:rPr>
                <w:b/>
                <w:lang w:eastAsia="en-GB"/>
              </w:rPr>
            </w:pPr>
            <w:r>
              <w:rPr>
                <w:b/>
                <w:lang w:eastAsia="en-GB"/>
              </w:rPr>
              <w:t xml:space="preserve">Outcomes: </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1B5E5D" w14:textId="77777777" w:rsidR="00B56D7C" w:rsidRDefault="00B56D7C">
            <w:pPr>
              <w:spacing w:after="200" w:line="276" w:lineRule="auto"/>
              <w:ind w:left="360"/>
              <w:rPr>
                <w:lang w:eastAsia="en-GB"/>
              </w:rPr>
            </w:pPr>
          </w:p>
        </w:tc>
      </w:tr>
      <w:tr w:rsidR="00B56D7C" w14:paraId="61D395DD" w14:textId="77777777">
        <w:trPr>
          <w:trHeight w:val="1060"/>
        </w:trPr>
        <w:tc>
          <w:tcPr>
            <w:tcW w:w="193" w:type="pct"/>
            <w:tcBorders>
              <w:top w:val="single" w:sz="4" w:space="0" w:color="auto"/>
              <w:left w:val="single" w:sz="4" w:space="0" w:color="auto"/>
              <w:bottom w:val="single" w:sz="4" w:space="0" w:color="auto"/>
              <w:right w:val="single" w:sz="4" w:space="0" w:color="auto"/>
            </w:tcBorders>
            <w:vAlign w:val="center"/>
          </w:tcPr>
          <w:p w14:paraId="17EBCF8A"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4C85A099" w14:textId="77777777" w:rsidR="00B56D7C" w:rsidRDefault="00B56D7C">
            <w:pPr>
              <w:spacing w:after="200" w:line="276" w:lineRule="auto"/>
              <w:ind w:left="20"/>
              <w:rPr>
                <w:lang w:eastAsia="en-GB"/>
              </w:rPr>
            </w:pPr>
            <w:r>
              <w:rPr>
                <w:lang w:eastAsia="en-GB"/>
              </w:rPr>
              <w:t>The outcomes / results of your proposal. Please give brief details.</w:t>
            </w:r>
          </w:p>
        </w:tc>
        <w:tc>
          <w:tcPr>
            <w:tcW w:w="2895" w:type="pct"/>
            <w:tcBorders>
              <w:top w:val="single" w:sz="4" w:space="0" w:color="auto"/>
              <w:left w:val="single" w:sz="4" w:space="0" w:color="auto"/>
              <w:bottom w:val="single" w:sz="4" w:space="0" w:color="auto"/>
              <w:right w:val="single" w:sz="4" w:space="0" w:color="auto"/>
            </w:tcBorders>
            <w:vAlign w:val="center"/>
            <w:hideMark/>
          </w:tcPr>
          <w:p w14:paraId="3D6EE1A7" w14:textId="77777777" w:rsidR="00B56D7C" w:rsidRDefault="00B56D7C">
            <w:pPr>
              <w:pStyle w:val="NoSpacing"/>
              <w:rPr>
                <w:sz w:val="24"/>
                <w:szCs w:val="24"/>
                <w:lang w:eastAsia="en-GB"/>
              </w:rPr>
            </w:pPr>
            <w:r>
              <w:rPr>
                <w:lang w:eastAsia="en-GB"/>
              </w:rPr>
              <w:t xml:space="preserve">As above, the ELC-FS demonstrated the feasibility of a larger birth cohort study which has been commissioned by the ESRC. It also  collected data of substantive value in itself and is a relatively large study of value for the research and policy community, generalisable to the UK population. </w:t>
            </w:r>
          </w:p>
        </w:tc>
      </w:tr>
      <w:tr w:rsidR="00B56D7C" w14:paraId="1FA16458"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292318" w14:textId="77777777" w:rsidR="00B56D7C" w:rsidRDefault="00B56D7C">
            <w:pPr>
              <w:spacing w:after="200" w:line="276" w:lineRule="auto"/>
              <w:rPr>
                <w:lang w:eastAsia="en-GB"/>
              </w:rPr>
            </w:pPr>
            <w:r>
              <w:rPr>
                <w:lang w:eastAsia="en-GB"/>
              </w:rPr>
              <w:t>6</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340118" w14:textId="77777777" w:rsidR="00B56D7C" w:rsidRDefault="00B56D7C">
            <w:pPr>
              <w:spacing w:after="200" w:line="276" w:lineRule="auto"/>
              <w:ind w:left="20"/>
              <w:rPr>
                <w:b/>
                <w:lang w:eastAsia="en-GB"/>
              </w:rPr>
            </w:pPr>
            <w:r>
              <w:rPr>
                <w:b/>
                <w:lang w:eastAsia="en-GB"/>
              </w:rPr>
              <w:t>Future Questions:</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1AEA75" w14:textId="77777777" w:rsidR="00B56D7C" w:rsidRDefault="00B56D7C">
            <w:pPr>
              <w:spacing w:after="200" w:line="276" w:lineRule="auto"/>
              <w:ind w:left="360"/>
              <w:rPr>
                <w:lang w:eastAsia="en-GB"/>
              </w:rPr>
            </w:pPr>
          </w:p>
        </w:tc>
      </w:tr>
      <w:tr w:rsidR="00B56D7C" w14:paraId="5976A28A" w14:textId="77777777">
        <w:trPr>
          <w:trHeight w:val="1342"/>
        </w:trPr>
        <w:tc>
          <w:tcPr>
            <w:tcW w:w="193" w:type="pct"/>
            <w:tcBorders>
              <w:top w:val="single" w:sz="4" w:space="0" w:color="auto"/>
              <w:left w:val="single" w:sz="4" w:space="0" w:color="auto"/>
              <w:bottom w:val="single" w:sz="4" w:space="0" w:color="auto"/>
              <w:right w:val="single" w:sz="4" w:space="0" w:color="auto"/>
            </w:tcBorders>
            <w:vAlign w:val="center"/>
          </w:tcPr>
          <w:p w14:paraId="0D9355A5"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68494DF7" w14:textId="77777777" w:rsidR="00B56D7C" w:rsidRDefault="00B56D7C">
            <w:pPr>
              <w:spacing w:after="200" w:line="276" w:lineRule="auto"/>
              <w:ind w:left="20"/>
              <w:rPr>
                <w:lang w:eastAsia="en-GB"/>
              </w:rPr>
            </w:pPr>
            <w:r>
              <w:rPr>
                <w:lang w:eastAsia="en-GB"/>
              </w:rPr>
              <w:t>Have the processes / results raised further questions for future exploration? Please give brief details.</w:t>
            </w:r>
          </w:p>
        </w:tc>
        <w:tc>
          <w:tcPr>
            <w:tcW w:w="2895" w:type="pct"/>
            <w:tcBorders>
              <w:top w:val="single" w:sz="4" w:space="0" w:color="auto"/>
              <w:left w:val="single" w:sz="4" w:space="0" w:color="auto"/>
              <w:bottom w:val="single" w:sz="4" w:space="0" w:color="auto"/>
              <w:right w:val="single" w:sz="4" w:space="0" w:color="auto"/>
            </w:tcBorders>
            <w:vAlign w:val="center"/>
            <w:hideMark/>
          </w:tcPr>
          <w:p w14:paraId="5F40F151" w14:textId="77777777" w:rsidR="00B56D7C" w:rsidRDefault="00B56D7C">
            <w:pPr>
              <w:pStyle w:val="NoSpacing"/>
              <w:rPr>
                <w:sz w:val="24"/>
                <w:szCs w:val="24"/>
                <w:lang w:eastAsia="en-GB"/>
              </w:rPr>
            </w:pPr>
            <w:r>
              <w:rPr>
                <w:lang w:eastAsia="en-GB"/>
              </w:rPr>
              <w:t>The processes and results of the ELC-FS have fed into the design of the larger main study. Changes to the protocol have been made in Scotland including around exclusions, contact with fathers and timings of interviews with ‘own household parents’.</w:t>
            </w:r>
          </w:p>
        </w:tc>
      </w:tr>
    </w:tbl>
    <w:p w14:paraId="44920ADB" w14:textId="77777777" w:rsidR="00B56D7C" w:rsidRPr="003E6190" w:rsidRDefault="00B56D7C" w:rsidP="003E6190"/>
    <w:p w14:paraId="04869E5A" w14:textId="77777777" w:rsidR="003E6190" w:rsidRDefault="003E6190" w:rsidP="00BF5E0A">
      <w:pPr>
        <w:pStyle w:val="Heading1"/>
      </w:pPr>
    </w:p>
    <w:p w14:paraId="2A0EBC26" w14:textId="77777777" w:rsidR="003E6190" w:rsidRDefault="003E6190" w:rsidP="00BF5E0A">
      <w:pPr>
        <w:pStyle w:val="Heading1"/>
      </w:pPr>
    </w:p>
    <w:p w14:paraId="72FF8D69" w14:textId="3B759CD7" w:rsidR="00BF5E0A" w:rsidRDefault="00BF5E0A" w:rsidP="00BF5E0A">
      <w:pPr>
        <w:pStyle w:val="Heading1"/>
      </w:pPr>
      <w:r w:rsidRPr="00BF5E0A">
        <w:t>2122-0054</w:t>
      </w:r>
      <w:r w:rsidRPr="00BF5E0A">
        <w:tab/>
        <w:t>Duncan Buchanan</w:t>
      </w:r>
    </w:p>
    <w:p w14:paraId="2194AA7C" w14:textId="77777777" w:rsidR="00BF5E0A" w:rsidRDefault="00BF5E0A" w:rsidP="00BF5E0A">
      <w:pPr>
        <w:pStyle w:val="NoSpacing"/>
        <w:rPr>
          <w:b/>
          <w:sz w:val="24"/>
          <w:szCs w:val="24"/>
        </w:rPr>
      </w:pPr>
    </w:p>
    <w:p w14:paraId="388518DE" w14:textId="30D6C423" w:rsidR="00BF5E0A" w:rsidRDefault="0073196F" w:rsidP="00BF5E0A">
      <w:pPr>
        <w:pStyle w:val="NoSpacing"/>
        <w:rPr>
          <w:b/>
          <w:sz w:val="24"/>
          <w:szCs w:val="24"/>
        </w:rPr>
      </w:pPr>
      <w:r w:rsidRPr="0073196F">
        <w:rPr>
          <w:b/>
          <w:sz w:val="24"/>
          <w:szCs w:val="24"/>
        </w:rPr>
        <w:t>Equality Protected Characteristics Dataset</w:t>
      </w:r>
    </w:p>
    <w:p w14:paraId="5F0225C7" w14:textId="77777777" w:rsidR="00BF5E0A" w:rsidRDefault="00BF5E0A" w:rsidP="00BF5E0A">
      <w:pPr>
        <w:pStyle w:val="NoSpacing"/>
        <w:rPr>
          <w:b/>
          <w:sz w:val="24"/>
          <w:szCs w:val="24"/>
        </w:rPr>
      </w:pPr>
    </w:p>
    <w:p w14:paraId="12AB22DA" w14:textId="6517D98F" w:rsidR="00BF5E0A" w:rsidRDefault="00BF5E0A" w:rsidP="00BF5E0A">
      <w:pPr>
        <w:pStyle w:val="NoSpacing"/>
        <w:rPr>
          <w:b/>
          <w:sz w:val="24"/>
          <w:szCs w:val="24"/>
        </w:rPr>
      </w:pPr>
      <w:r w:rsidRPr="00BF5E0A">
        <w:rPr>
          <w:b/>
          <w:sz w:val="24"/>
          <w:szCs w:val="24"/>
        </w:rPr>
        <w:t>End of Project Report</w:t>
      </w:r>
    </w:p>
    <w:p w14:paraId="42C11EF5" w14:textId="77777777" w:rsidR="0073196F" w:rsidRDefault="0073196F" w:rsidP="00BF5E0A">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662AA9" w14:paraId="5F18483D"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31CDB9" w14:textId="77777777" w:rsidR="00662AA9" w:rsidRDefault="00662AA9">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ADFBA3" w14:textId="77777777" w:rsidR="00662AA9" w:rsidRDefault="00662AA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89B765A" w14:textId="77777777" w:rsidR="00662AA9" w:rsidRDefault="00662AA9">
            <w:pPr>
              <w:spacing w:after="200" w:line="276" w:lineRule="auto"/>
              <w:ind w:left="360"/>
              <w:rPr>
                <w:lang w:eastAsia="en-GB"/>
              </w:rPr>
            </w:pPr>
          </w:p>
        </w:tc>
      </w:tr>
      <w:tr w:rsidR="00662AA9" w14:paraId="7FDFB4E1" w14:textId="77777777" w:rsidTr="00662AA9">
        <w:trPr>
          <w:trHeight w:hRule="exact" w:val="6261"/>
        </w:trPr>
        <w:tc>
          <w:tcPr>
            <w:tcW w:w="188" w:type="pct"/>
            <w:tcBorders>
              <w:top w:val="single" w:sz="4" w:space="0" w:color="auto"/>
              <w:left w:val="single" w:sz="4" w:space="0" w:color="auto"/>
              <w:bottom w:val="single" w:sz="4" w:space="0" w:color="auto"/>
              <w:right w:val="single" w:sz="4" w:space="0" w:color="auto"/>
            </w:tcBorders>
            <w:vAlign w:val="center"/>
          </w:tcPr>
          <w:p w14:paraId="41983B6E"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82CBAB0" w14:textId="77777777" w:rsidR="00662AA9" w:rsidRDefault="00662AA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3702AF9B" w14:textId="77777777" w:rsidR="00662AA9" w:rsidRDefault="00662AA9">
            <w:pPr>
              <w:rPr>
                <w:color w:val="000000" w:themeColor="text1"/>
                <w:sz w:val="24"/>
                <w:szCs w:val="24"/>
              </w:rPr>
            </w:pPr>
            <w:r>
              <w:rPr>
                <w:color w:val="000000" w:themeColor="text1"/>
              </w:rPr>
              <w:t xml:space="preserve">The overall aim of the project proposal is to develop a securely held population-wide equalities dataset based on linking data on individuals across a number of administrative databases.   This reference dataset would then be available to provide equalities data in future projects looking to report on the equality of outcomes and service provision for specific services where equality data is not available or adequate. </w:t>
            </w:r>
          </w:p>
          <w:p w14:paraId="7D179397" w14:textId="77777777" w:rsidR="00662AA9" w:rsidRDefault="00662AA9">
            <w:pPr>
              <w:rPr>
                <w:color w:val="000000" w:themeColor="text1"/>
                <w:lang w:eastAsia="en-GB"/>
              </w:rPr>
            </w:pPr>
          </w:p>
          <w:p w14:paraId="0C85F03C" w14:textId="77777777" w:rsidR="00662AA9" w:rsidRDefault="00662AA9">
            <w:pPr>
              <w:rPr>
                <w:color w:val="000000" w:themeColor="text1"/>
                <w:szCs w:val="24"/>
              </w:rPr>
            </w:pPr>
            <w:r>
              <w:rPr>
                <w:color w:val="000000" w:themeColor="text1"/>
                <w:lang w:eastAsia="en-GB"/>
              </w:rPr>
              <w:t>This current application covers the first phase of the project to build and test the dataset</w:t>
            </w:r>
          </w:p>
          <w:p w14:paraId="095DE253" w14:textId="77777777" w:rsidR="00662AA9" w:rsidRDefault="00662AA9">
            <w:pPr>
              <w:rPr>
                <w:color w:val="000000" w:themeColor="text1"/>
              </w:rPr>
            </w:pPr>
          </w:p>
          <w:p w14:paraId="71C04A4A" w14:textId="77777777" w:rsidR="00662AA9" w:rsidRDefault="00662AA9">
            <w:pPr>
              <w:rPr>
                <w:color w:val="000000" w:themeColor="text1"/>
              </w:rPr>
            </w:pPr>
            <w:r>
              <w:rPr>
                <w:color w:val="000000" w:themeColor="text1"/>
              </w:rPr>
              <w:t xml:space="preserve">The reference dataset collates data related to the protected characteristics listed under the Equality Act 2010, such as age, sex, ethnicity, religion, national identity, maternity/pregnancy, marital status and disability.  The new dataset and the data are pseudonymised multiple times making it difficult to identify where data originated.  </w:t>
            </w:r>
          </w:p>
          <w:p w14:paraId="78EEE54D" w14:textId="77777777" w:rsidR="00662AA9" w:rsidRDefault="00662AA9">
            <w:pPr>
              <w:spacing w:line="360" w:lineRule="auto"/>
              <w:rPr>
                <w:lang w:eastAsia="en-GB"/>
              </w:rPr>
            </w:pPr>
          </w:p>
        </w:tc>
      </w:tr>
      <w:tr w:rsidR="00662AA9" w14:paraId="3723F370"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2B09F5" w14:textId="77777777" w:rsidR="00662AA9" w:rsidRDefault="00662AA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29DD56" w14:textId="77777777" w:rsidR="00662AA9" w:rsidRDefault="00662AA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1D0435" w14:textId="77777777" w:rsidR="00662AA9" w:rsidRDefault="00662AA9">
            <w:pPr>
              <w:spacing w:after="200" w:line="276" w:lineRule="auto"/>
              <w:ind w:left="360"/>
              <w:rPr>
                <w:lang w:eastAsia="en-GB"/>
              </w:rPr>
            </w:pPr>
          </w:p>
          <w:p w14:paraId="0337488A" w14:textId="77777777" w:rsidR="00662AA9" w:rsidRDefault="00662AA9">
            <w:pPr>
              <w:spacing w:after="200" w:line="276" w:lineRule="auto"/>
              <w:rPr>
                <w:lang w:eastAsia="en-GB"/>
              </w:rPr>
            </w:pPr>
          </w:p>
          <w:p w14:paraId="7AE67D18" w14:textId="77777777" w:rsidR="00662AA9" w:rsidRDefault="00662AA9">
            <w:pPr>
              <w:spacing w:after="200" w:line="276" w:lineRule="auto"/>
              <w:rPr>
                <w:lang w:eastAsia="en-GB"/>
              </w:rPr>
            </w:pPr>
          </w:p>
          <w:p w14:paraId="7759ECF1" w14:textId="77777777" w:rsidR="00662AA9" w:rsidRDefault="00662AA9">
            <w:pPr>
              <w:spacing w:after="200" w:line="276" w:lineRule="auto"/>
              <w:rPr>
                <w:lang w:eastAsia="en-GB"/>
              </w:rPr>
            </w:pPr>
          </w:p>
          <w:p w14:paraId="4FE3C79F" w14:textId="77777777" w:rsidR="00662AA9" w:rsidRDefault="00662AA9">
            <w:pPr>
              <w:spacing w:after="200" w:line="276" w:lineRule="auto"/>
              <w:rPr>
                <w:lang w:eastAsia="en-GB"/>
              </w:rPr>
            </w:pPr>
          </w:p>
          <w:p w14:paraId="706DF227" w14:textId="77777777" w:rsidR="00662AA9" w:rsidRDefault="00662AA9">
            <w:pPr>
              <w:spacing w:after="200" w:line="276" w:lineRule="auto"/>
              <w:rPr>
                <w:lang w:eastAsia="en-GB"/>
              </w:rPr>
            </w:pPr>
          </w:p>
          <w:p w14:paraId="44EFC8BD" w14:textId="77777777" w:rsidR="00662AA9" w:rsidRDefault="00662AA9">
            <w:pPr>
              <w:spacing w:after="200" w:line="276" w:lineRule="auto"/>
              <w:rPr>
                <w:lang w:eastAsia="en-GB"/>
              </w:rPr>
            </w:pPr>
          </w:p>
          <w:p w14:paraId="3DF4DD31" w14:textId="77777777" w:rsidR="00662AA9" w:rsidRDefault="00662AA9">
            <w:pPr>
              <w:spacing w:after="200" w:line="276" w:lineRule="auto"/>
              <w:rPr>
                <w:lang w:eastAsia="en-GB"/>
              </w:rPr>
            </w:pPr>
          </w:p>
          <w:p w14:paraId="75D6752B" w14:textId="77777777" w:rsidR="00662AA9" w:rsidRDefault="00662AA9">
            <w:pPr>
              <w:spacing w:after="200" w:line="276" w:lineRule="auto"/>
              <w:rPr>
                <w:lang w:eastAsia="en-GB"/>
              </w:rPr>
            </w:pPr>
          </w:p>
          <w:p w14:paraId="3F59E0B1" w14:textId="77777777" w:rsidR="00662AA9" w:rsidRDefault="00662AA9">
            <w:pPr>
              <w:spacing w:after="200" w:line="276" w:lineRule="auto"/>
              <w:rPr>
                <w:lang w:eastAsia="en-GB"/>
              </w:rPr>
            </w:pPr>
          </w:p>
          <w:p w14:paraId="760DB9B1" w14:textId="77777777" w:rsidR="00662AA9" w:rsidRDefault="00662AA9">
            <w:pPr>
              <w:spacing w:after="200" w:line="276" w:lineRule="auto"/>
              <w:rPr>
                <w:lang w:eastAsia="en-GB"/>
              </w:rPr>
            </w:pPr>
          </w:p>
          <w:p w14:paraId="0799C1E0" w14:textId="77777777" w:rsidR="00662AA9" w:rsidRDefault="00662AA9">
            <w:pPr>
              <w:spacing w:after="200" w:line="276" w:lineRule="auto"/>
              <w:rPr>
                <w:lang w:eastAsia="en-GB"/>
              </w:rPr>
            </w:pPr>
          </w:p>
          <w:p w14:paraId="30AF6A8B" w14:textId="77777777" w:rsidR="00662AA9" w:rsidRDefault="00662AA9">
            <w:pPr>
              <w:spacing w:after="200" w:line="276" w:lineRule="auto"/>
              <w:rPr>
                <w:lang w:eastAsia="en-GB"/>
              </w:rPr>
            </w:pPr>
          </w:p>
          <w:p w14:paraId="54972ADD" w14:textId="77777777" w:rsidR="00662AA9" w:rsidRDefault="00662AA9">
            <w:pPr>
              <w:spacing w:after="200" w:line="276" w:lineRule="auto"/>
              <w:rPr>
                <w:lang w:eastAsia="en-GB"/>
              </w:rPr>
            </w:pPr>
          </w:p>
          <w:p w14:paraId="46544E5B" w14:textId="77777777" w:rsidR="00662AA9" w:rsidRDefault="00662AA9">
            <w:pPr>
              <w:spacing w:after="200" w:line="276" w:lineRule="auto"/>
              <w:rPr>
                <w:lang w:eastAsia="en-GB"/>
              </w:rPr>
            </w:pPr>
          </w:p>
          <w:p w14:paraId="2B4ECC61" w14:textId="77777777" w:rsidR="00662AA9" w:rsidRDefault="00662AA9">
            <w:pPr>
              <w:spacing w:after="200" w:line="276" w:lineRule="auto"/>
              <w:rPr>
                <w:lang w:eastAsia="en-GB"/>
              </w:rPr>
            </w:pPr>
          </w:p>
          <w:p w14:paraId="09037E7B" w14:textId="77777777" w:rsidR="00662AA9" w:rsidRDefault="00662AA9">
            <w:pPr>
              <w:spacing w:after="200" w:line="276" w:lineRule="auto"/>
              <w:rPr>
                <w:lang w:eastAsia="en-GB"/>
              </w:rPr>
            </w:pPr>
          </w:p>
          <w:p w14:paraId="6617F4F8" w14:textId="77777777" w:rsidR="00662AA9" w:rsidRDefault="00662AA9">
            <w:pPr>
              <w:spacing w:after="200" w:line="276" w:lineRule="auto"/>
              <w:rPr>
                <w:lang w:eastAsia="en-GB"/>
              </w:rPr>
            </w:pPr>
          </w:p>
          <w:p w14:paraId="401DC874" w14:textId="77777777" w:rsidR="00662AA9" w:rsidRDefault="00662AA9">
            <w:pPr>
              <w:spacing w:after="200" w:line="276" w:lineRule="auto"/>
              <w:rPr>
                <w:lang w:eastAsia="en-GB"/>
              </w:rPr>
            </w:pPr>
          </w:p>
          <w:p w14:paraId="519FD55E" w14:textId="77777777" w:rsidR="00662AA9" w:rsidRDefault="00662AA9">
            <w:pPr>
              <w:spacing w:after="200" w:line="276" w:lineRule="auto"/>
              <w:rPr>
                <w:lang w:eastAsia="en-GB"/>
              </w:rPr>
            </w:pPr>
          </w:p>
          <w:p w14:paraId="7BC95F12" w14:textId="77777777" w:rsidR="00662AA9" w:rsidRDefault="00662AA9">
            <w:pPr>
              <w:spacing w:after="200" w:line="276" w:lineRule="auto"/>
              <w:rPr>
                <w:lang w:eastAsia="en-GB"/>
              </w:rPr>
            </w:pPr>
          </w:p>
          <w:p w14:paraId="77513344" w14:textId="77777777" w:rsidR="00662AA9" w:rsidRDefault="00662AA9">
            <w:pPr>
              <w:spacing w:after="200" w:line="276" w:lineRule="auto"/>
              <w:rPr>
                <w:lang w:eastAsia="en-GB"/>
              </w:rPr>
            </w:pPr>
          </w:p>
          <w:p w14:paraId="0128B01E" w14:textId="77777777" w:rsidR="00662AA9" w:rsidRDefault="00662AA9">
            <w:pPr>
              <w:spacing w:after="200" w:line="276" w:lineRule="auto"/>
              <w:rPr>
                <w:lang w:eastAsia="en-GB"/>
              </w:rPr>
            </w:pPr>
          </w:p>
          <w:p w14:paraId="10F91E7B" w14:textId="77777777" w:rsidR="00662AA9" w:rsidRDefault="00662AA9">
            <w:pPr>
              <w:spacing w:after="200" w:line="276" w:lineRule="auto"/>
              <w:rPr>
                <w:lang w:eastAsia="en-GB"/>
              </w:rPr>
            </w:pPr>
          </w:p>
          <w:p w14:paraId="40131546" w14:textId="77777777" w:rsidR="00662AA9" w:rsidRDefault="00662AA9">
            <w:pPr>
              <w:spacing w:after="200" w:line="276" w:lineRule="auto"/>
              <w:rPr>
                <w:lang w:eastAsia="en-GB"/>
              </w:rPr>
            </w:pPr>
          </w:p>
        </w:tc>
      </w:tr>
      <w:tr w:rsidR="00662AA9" w14:paraId="60EDD15A" w14:textId="77777777" w:rsidTr="00662AA9">
        <w:trPr>
          <w:trHeight w:hRule="exact" w:val="7301"/>
        </w:trPr>
        <w:tc>
          <w:tcPr>
            <w:tcW w:w="188" w:type="pct"/>
            <w:tcBorders>
              <w:top w:val="single" w:sz="4" w:space="0" w:color="auto"/>
              <w:left w:val="single" w:sz="4" w:space="0" w:color="auto"/>
              <w:bottom w:val="single" w:sz="4" w:space="0" w:color="auto"/>
              <w:right w:val="single" w:sz="4" w:space="0" w:color="auto"/>
            </w:tcBorders>
            <w:vAlign w:val="center"/>
          </w:tcPr>
          <w:p w14:paraId="793ED91D"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B1C2E09" w14:textId="77777777" w:rsidR="00662AA9" w:rsidRDefault="00662AA9">
            <w:pPr>
              <w:spacing w:after="200" w:line="276" w:lineRule="auto"/>
              <w:ind w:left="20"/>
              <w:rPr>
                <w:lang w:eastAsia="en-GB"/>
              </w:rPr>
            </w:pPr>
            <w:r>
              <w:rPr>
                <w:lang w:eastAsia="en-GB"/>
              </w:rPr>
              <w:t>How will these outcomes directly result in benefit for the public? Please give details. This should be the main section answered.</w:t>
            </w:r>
          </w:p>
          <w:p w14:paraId="031EFCE5" w14:textId="77777777" w:rsidR="00662AA9" w:rsidRDefault="00662AA9">
            <w:pPr>
              <w:spacing w:after="200" w:line="276" w:lineRule="auto"/>
              <w:ind w:left="20"/>
              <w:rPr>
                <w:lang w:eastAsia="en-GB"/>
              </w:rPr>
            </w:pPr>
          </w:p>
          <w:p w14:paraId="56D886C7" w14:textId="77777777" w:rsidR="00662AA9" w:rsidRDefault="00662AA9">
            <w:pPr>
              <w:spacing w:after="200" w:line="276" w:lineRule="auto"/>
              <w:ind w:left="20"/>
              <w:rPr>
                <w:lang w:eastAsia="en-GB"/>
              </w:rPr>
            </w:pPr>
          </w:p>
          <w:p w14:paraId="4BB752DE" w14:textId="77777777" w:rsidR="00662AA9" w:rsidRDefault="00662AA9">
            <w:pPr>
              <w:spacing w:after="200" w:line="276" w:lineRule="auto"/>
              <w:ind w:left="20"/>
              <w:rPr>
                <w:lang w:eastAsia="en-GB"/>
              </w:rPr>
            </w:pPr>
          </w:p>
          <w:p w14:paraId="52F2DF92" w14:textId="77777777" w:rsidR="00662AA9" w:rsidRDefault="00662AA9">
            <w:pPr>
              <w:spacing w:after="200" w:line="276" w:lineRule="auto"/>
              <w:ind w:left="20"/>
              <w:rPr>
                <w:lang w:eastAsia="en-GB"/>
              </w:rPr>
            </w:pPr>
          </w:p>
          <w:p w14:paraId="4A77C479" w14:textId="77777777" w:rsidR="00662AA9" w:rsidRDefault="00662AA9">
            <w:pPr>
              <w:spacing w:after="200" w:line="276" w:lineRule="auto"/>
              <w:ind w:left="20"/>
              <w:rPr>
                <w:lang w:eastAsia="en-GB"/>
              </w:rPr>
            </w:pPr>
          </w:p>
          <w:p w14:paraId="6FB92707" w14:textId="77777777" w:rsidR="00662AA9" w:rsidRDefault="00662AA9">
            <w:pPr>
              <w:spacing w:after="200" w:line="276" w:lineRule="auto"/>
              <w:ind w:left="20"/>
              <w:rPr>
                <w:lang w:eastAsia="en-GB"/>
              </w:rPr>
            </w:pPr>
          </w:p>
          <w:p w14:paraId="2D1B25EA" w14:textId="77777777" w:rsidR="00662AA9" w:rsidRDefault="00662AA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58A4AEB" w14:textId="77777777" w:rsidR="00662AA9" w:rsidRDefault="00662AA9">
            <w:pPr>
              <w:rPr>
                <w:color w:val="000000" w:themeColor="text1"/>
                <w:sz w:val="24"/>
                <w:szCs w:val="24"/>
              </w:rPr>
            </w:pPr>
            <w:r>
              <w:rPr>
                <w:color w:val="000000" w:themeColor="text1"/>
              </w:rPr>
              <w:t xml:space="preserve">During the pandemic data held on protected characteristics in administrative and clinical databases, such as ethnicity was found to be incomplete and often of low quality.  This hindered attempts to produce timely evidence on how the pandemic impacted on different groups and communities within the population.  This lack of complete data and evidence has the potential to discriminate groups due to lack of evidence on which to base interventions and actions.  While there are attempts to address data quality in administrative and clinical databases these may take time to be realised.  One approach to mitigate the risks of lack of complete data is to make maximum use of the data that is already collected by different public organisations.  The current project aims to address this by linking datasets with a wide coverage across the demography and geography of Scotland and combining records on protected characteristics to aid future research projects provide timely evidence on equality of public services.  </w:t>
            </w:r>
          </w:p>
          <w:p w14:paraId="2568C2BC" w14:textId="77777777" w:rsidR="00662AA9" w:rsidRDefault="00662AA9">
            <w:pPr>
              <w:rPr>
                <w:color w:val="000000" w:themeColor="text1"/>
              </w:rPr>
            </w:pPr>
          </w:p>
          <w:p w14:paraId="3F0363F7" w14:textId="77777777" w:rsidR="00662AA9" w:rsidRDefault="00662AA9">
            <w:pPr>
              <w:rPr>
                <w:color w:val="000000" w:themeColor="text1"/>
              </w:rPr>
            </w:pPr>
            <w:r>
              <w:rPr>
                <w:color w:val="000000" w:themeColor="text1"/>
              </w:rPr>
              <w:t>The public benefit will be in assisting public sector organisations with evaluation of their services to ensure they are inclusive and equitable.  Where inequalities in service provision or outcome are identified by research, providers can consider improvements to be made to address them.</w:t>
            </w:r>
          </w:p>
          <w:p w14:paraId="001EC104" w14:textId="77777777" w:rsidR="00662AA9" w:rsidRDefault="00662AA9">
            <w:pPr>
              <w:rPr>
                <w:color w:val="FF0000"/>
              </w:rPr>
            </w:pPr>
          </w:p>
          <w:p w14:paraId="36DF7877" w14:textId="77777777" w:rsidR="00662AA9" w:rsidRDefault="00662AA9">
            <w:pPr>
              <w:spacing w:line="360" w:lineRule="auto"/>
              <w:rPr>
                <w:lang w:eastAsia="en-GB"/>
              </w:rPr>
            </w:pPr>
          </w:p>
          <w:p w14:paraId="361D480C" w14:textId="77777777" w:rsidR="00662AA9" w:rsidRDefault="00662AA9">
            <w:pPr>
              <w:spacing w:line="360" w:lineRule="auto"/>
              <w:rPr>
                <w:lang w:eastAsia="en-GB"/>
              </w:rPr>
            </w:pPr>
          </w:p>
          <w:p w14:paraId="1C61BBEB" w14:textId="77777777" w:rsidR="00662AA9" w:rsidRDefault="00662AA9">
            <w:pPr>
              <w:spacing w:line="360" w:lineRule="auto"/>
              <w:rPr>
                <w:lang w:eastAsia="en-GB"/>
              </w:rPr>
            </w:pPr>
          </w:p>
          <w:p w14:paraId="6C72EBC1" w14:textId="77777777" w:rsidR="00662AA9" w:rsidRDefault="00662AA9">
            <w:pPr>
              <w:spacing w:line="360" w:lineRule="auto"/>
              <w:rPr>
                <w:lang w:eastAsia="en-GB"/>
              </w:rPr>
            </w:pPr>
          </w:p>
          <w:p w14:paraId="0FCB2C99" w14:textId="77777777" w:rsidR="00662AA9" w:rsidRDefault="00662AA9">
            <w:pPr>
              <w:spacing w:line="360" w:lineRule="auto"/>
              <w:rPr>
                <w:lang w:eastAsia="en-GB"/>
              </w:rPr>
            </w:pPr>
          </w:p>
          <w:p w14:paraId="007AA933" w14:textId="77777777" w:rsidR="00662AA9" w:rsidRDefault="00662AA9">
            <w:pPr>
              <w:spacing w:line="360" w:lineRule="auto"/>
              <w:rPr>
                <w:lang w:eastAsia="en-GB"/>
              </w:rPr>
            </w:pPr>
          </w:p>
          <w:p w14:paraId="7CB9C52B" w14:textId="77777777" w:rsidR="00662AA9" w:rsidRDefault="00662AA9">
            <w:pPr>
              <w:spacing w:line="360" w:lineRule="auto"/>
              <w:rPr>
                <w:lang w:eastAsia="en-GB"/>
              </w:rPr>
            </w:pPr>
          </w:p>
          <w:p w14:paraId="7DCDF2F0" w14:textId="77777777" w:rsidR="00662AA9" w:rsidRDefault="00662AA9">
            <w:pPr>
              <w:spacing w:line="360" w:lineRule="auto"/>
              <w:rPr>
                <w:lang w:eastAsia="en-GB"/>
              </w:rPr>
            </w:pPr>
          </w:p>
        </w:tc>
      </w:tr>
      <w:tr w:rsidR="00662AA9" w14:paraId="2F90D4A7"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8566C1"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C3B3A8" w14:textId="77777777" w:rsidR="00662AA9" w:rsidRDefault="00662AA9">
            <w:pPr>
              <w:spacing w:after="200" w:line="276" w:lineRule="auto"/>
              <w:ind w:left="20"/>
              <w:rPr>
                <w:b/>
                <w:lang w:eastAsia="en-GB"/>
              </w:rPr>
            </w:pP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D0210E" w14:textId="77777777" w:rsidR="00662AA9" w:rsidRDefault="00662AA9">
            <w:pPr>
              <w:spacing w:after="200" w:line="276" w:lineRule="auto"/>
              <w:ind w:left="360"/>
              <w:rPr>
                <w:lang w:eastAsia="en-GB"/>
              </w:rPr>
            </w:pPr>
          </w:p>
        </w:tc>
      </w:tr>
      <w:tr w:rsidR="00662AA9" w14:paraId="059E4FE0"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3AD7D8"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7756C2" w14:textId="77777777" w:rsidR="00662AA9" w:rsidRDefault="00662AA9">
            <w:pPr>
              <w:spacing w:after="200" w:line="276" w:lineRule="auto"/>
              <w:ind w:left="20"/>
              <w:rPr>
                <w:b/>
                <w:lang w:eastAsia="en-GB"/>
              </w:rPr>
            </w:pP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48096C" w14:textId="77777777" w:rsidR="00662AA9" w:rsidRDefault="00662AA9">
            <w:pPr>
              <w:spacing w:after="200" w:line="276" w:lineRule="auto"/>
              <w:ind w:left="360"/>
              <w:rPr>
                <w:lang w:eastAsia="en-GB"/>
              </w:rPr>
            </w:pPr>
          </w:p>
        </w:tc>
      </w:tr>
      <w:tr w:rsidR="00662AA9" w14:paraId="1AEFE211"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AFD79" w14:textId="77777777" w:rsidR="00662AA9" w:rsidRDefault="00662AA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8ACE2C" w14:textId="77777777" w:rsidR="00662AA9" w:rsidRDefault="00662AA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141ED7" w14:textId="77777777" w:rsidR="00662AA9" w:rsidRDefault="00662AA9">
            <w:pPr>
              <w:spacing w:after="200" w:line="276" w:lineRule="auto"/>
              <w:ind w:left="360"/>
              <w:rPr>
                <w:lang w:eastAsia="en-GB"/>
              </w:rPr>
            </w:pPr>
          </w:p>
        </w:tc>
      </w:tr>
      <w:tr w:rsidR="00662AA9" w14:paraId="7C8255D4" w14:textId="77777777" w:rsidTr="00662AA9">
        <w:trPr>
          <w:trHeight w:hRule="exact" w:val="5631"/>
        </w:trPr>
        <w:tc>
          <w:tcPr>
            <w:tcW w:w="188" w:type="pct"/>
            <w:tcBorders>
              <w:top w:val="single" w:sz="4" w:space="0" w:color="auto"/>
              <w:left w:val="single" w:sz="4" w:space="0" w:color="auto"/>
              <w:bottom w:val="single" w:sz="4" w:space="0" w:color="auto"/>
              <w:right w:val="single" w:sz="4" w:space="0" w:color="auto"/>
            </w:tcBorders>
            <w:vAlign w:val="center"/>
          </w:tcPr>
          <w:p w14:paraId="7FC07658"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5891BD0" w14:textId="77777777" w:rsidR="00662AA9" w:rsidRDefault="00662AA9">
            <w:pPr>
              <w:spacing w:after="200" w:line="276" w:lineRule="auto"/>
              <w:ind w:left="20"/>
              <w:rPr>
                <w:lang w:eastAsia="en-GB"/>
              </w:rPr>
            </w:pPr>
            <w:r>
              <w:rPr>
                <w:lang w:eastAsia="en-GB"/>
              </w:rPr>
              <w:t xml:space="preserve">What data were received/processed/collected? </w:t>
            </w:r>
          </w:p>
          <w:p w14:paraId="47FCA832" w14:textId="77777777" w:rsidR="00662AA9" w:rsidRDefault="00662AA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tcPr>
          <w:p w14:paraId="42CD5164" w14:textId="77777777" w:rsidR="00662AA9" w:rsidRDefault="00662AA9">
            <w:r>
              <w:t>Data that were processed came from the following sources:</w:t>
            </w:r>
          </w:p>
          <w:p w14:paraId="59B85141" w14:textId="77777777" w:rsidR="00662AA9" w:rsidRDefault="00662AA9" w:rsidP="00662AA9">
            <w:pPr>
              <w:pStyle w:val="ListParagraph"/>
              <w:numPr>
                <w:ilvl w:val="0"/>
                <w:numId w:val="21"/>
              </w:numPr>
              <w:tabs>
                <w:tab w:val="left" w:pos="720"/>
                <w:tab w:val="left" w:pos="1440"/>
                <w:tab w:val="left" w:pos="2160"/>
                <w:tab w:val="left" w:pos="2880"/>
                <w:tab w:val="left" w:pos="4680"/>
                <w:tab w:val="left" w:pos="5400"/>
                <w:tab w:val="right" w:pos="9000"/>
              </w:tabs>
            </w:pPr>
            <w:r>
              <w:t>Scottish Census 2011(from NRS)</w:t>
            </w:r>
          </w:p>
          <w:p w14:paraId="0F1201FC" w14:textId="77777777" w:rsidR="00662AA9" w:rsidRDefault="00662AA9" w:rsidP="00662AA9">
            <w:pPr>
              <w:pStyle w:val="ListParagraph"/>
              <w:numPr>
                <w:ilvl w:val="0"/>
                <w:numId w:val="21"/>
              </w:numPr>
              <w:tabs>
                <w:tab w:val="left" w:pos="720"/>
                <w:tab w:val="left" w:pos="1440"/>
                <w:tab w:val="left" w:pos="2160"/>
                <w:tab w:val="left" w:pos="2880"/>
                <w:tab w:val="left" w:pos="4680"/>
                <w:tab w:val="left" w:pos="5400"/>
                <w:tab w:val="right" w:pos="9000"/>
              </w:tabs>
            </w:pPr>
            <w:r>
              <w:t>School Pupil Census for 2011-19 (from SG)</w:t>
            </w:r>
          </w:p>
          <w:p w14:paraId="40E2CC15" w14:textId="77777777" w:rsidR="00662AA9" w:rsidRDefault="00662AA9" w:rsidP="00662AA9">
            <w:pPr>
              <w:pStyle w:val="ListParagraph"/>
              <w:numPr>
                <w:ilvl w:val="0"/>
                <w:numId w:val="21"/>
              </w:numPr>
              <w:tabs>
                <w:tab w:val="left" w:pos="720"/>
                <w:tab w:val="left" w:pos="1440"/>
                <w:tab w:val="left" w:pos="2160"/>
                <w:tab w:val="left" w:pos="2880"/>
                <w:tab w:val="left" w:pos="4680"/>
                <w:tab w:val="left" w:pos="5400"/>
                <w:tab w:val="right" w:pos="9000"/>
              </w:tabs>
            </w:pPr>
            <w:r>
              <w:t>SMR00/SMR01/ SMR02/SMR04 for 2011-22 (from PHS)</w:t>
            </w:r>
          </w:p>
          <w:p w14:paraId="57BC098F" w14:textId="77777777" w:rsidR="00662AA9" w:rsidRDefault="00662AA9"/>
          <w:p w14:paraId="63C79B2C" w14:textId="77777777" w:rsidR="00662AA9" w:rsidRDefault="00662AA9">
            <w:r>
              <w:t xml:space="preserve">Only the following variables were collated from these sources and combined using on a set of business rules: Date of birth, sex, ethnicity, religion (census only), national identity (census/pupil census only), maternity episodes (SMR02 only), marital status (census/SMR only), disability (Census only) and disability-related student support needs (pupil census only).  </w:t>
            </w:r>
          </w:p>
          <w:p w14:paraId="7B98DA39" w14:textId="77777777" w:rsidR="00662AA9" w:rsidRDefault="00662AA9"/>
          <w:p w14:paraId="31F8A47C" w14:textId="77777777" w:rsidR="00662AA9" w:rsidRDefault="00662AA9">
            <w:r>
              <w:t xml:space="preserve">In addition, a pseudonymised index number was provided by NRS, who retained master index file that links this index number to the population spine. </w:t>
            </w:r>
          </w:p>
          <w:p w14:paraId="2ACAF28E" w14:textId="77777777" w:rsidR="00662AA9" w:rsidRDefault="00662AA9"/>
          <w:p w14:paraId="46C7EC54" w14:textId="77777777" w:rsidR="00662AA9" w:rsidRDefault="00662AA9">
            <w:r>
              <w:t>The data received and processed were as expected and specified in the original application.</w:t>
            </w:r>
          </w:p>
          <w:p w14:paraId="7EC23BF0" w14:textId="77777777" w:rsidR="00662AA9" w:rsidRDefault="00662AA9">
            <w:pPr>
              <w:rPr>
                <w:color w:val="FF0000"/>
                <w:sz w:val="24"/>
                <w:szCs w:val="24"/>
              </w:rPr>
            </w:pPr>
          </w:p>
        </w:tc>
      </w:tr>
      <w:tr w:rsidR="00662AA9" w14:paraId="58814016"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2398BB" w14:textId="77777777" w:rsidR="00662AA9" w:rsidRDefault="00662AA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A71B60" w14:textId="77777777" w:rsidR="00662AA9" w:rsidRDefault="00662AA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D1D265" w14:textId="77777777" w:rsidR="00662AA9" w:rsidRDefault="00662AA9">
            <w:pPr>
              <w:spacing w:after="200" w:line="276" w:lineRule="auto"/>
              <w:ind w:left="360"/>
              <w:rPr>
                <w:lang w:eastAsia="en-GB"/>
              </w:rPr>
            </w:pPr>
          </w:p>
        </w:tc>
      </w:tr>
      <w:tr w:rsidR="00662AA9" w14:paraId="003A21DF" w14:textId="77777777" w:rsidTr="00662AA9">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1846C33"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037C310" w14:textId="77777777" w:rsidR="00662AA9" w:rsidRDefault="00662AA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642EAE4" w14:textId="77777777" w:rsidR="00662AA9" w:rsidRDefault="00662AA9">
            <w:pPr>
              <w:rPr>
                <w:lang w:eastAsia="en-GB"/>
              </w:rPr>
            </w:pPr>
            <w:r>
              <w:rPr>
                <w:lang w:eastAsia="en-GB"/>
              </w:rPr>
              <w:t>All data was sourced from existing national datasets collected and maintained by Scottish Government (pupil census), National Records of Scotland (Census) and Public Health Scotland (SMR records)</w:t>
            </w:r>
          </w:p>
        </w:tc>
      </w:tr>
      <w:tr w:rsidR="00662AA9" w14:paraId="79A58634" w14:textId="77777777" w:rsidTr="00662AA9">
        <w:trPr>
          <w:trHeight w:hRule="exact" w:val="38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21F3C" w14:textId="77777777" w:rsidR="00662AA9" w:rsidRDefault="00662AA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AE5159F" w14:textId="77777777" w:rsidR="00662AA9" w:rsidRDefault="00662AA9">
            <w:pPr>
              <w:spacing w:after="200" w:line="276" w:lineRule="auto"/>
              <w:ind w:left="20"/>
              <w:rPr>
                <w:lang w:eastAsia="en-GB"/>
              </w:rPr>
            </w:pPr>
            <w:r>
              <w:rPr>
                <w:lang w:eastAsia="en-GB"/>
              </w:rPr>
              <w:t xml:space="preserve">How did you process the data? </w:t>
            </w:r>
          </w:p>
          <w:p w14:paraId="117B27F1" w14:textId="77777777" w:rsidR="00662AA9" w:rsidRDefault="00662AA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CB7FE5A" w14:textId="77777777" w:rsidR="00662AA9" w:rsidRDefault="00662AA9">
            <w:pPr>
              <w:spacing w:after="200" w:line="276" w:lineRule="auto"/>
              <w:ind w:left="20"/>
              <w:rPr>
                <w:lang w:eastAsia="en-GB"/>
              </w:rPr>
            </w:pPr>
            <w:r>
              <w:rPr>
                <w:lang w:eastAsia="en-GB"/>
              </w:rPr>
              <w:t>The source datasets from the original data controllers were pseudonymised by National Records of Scotland which involved replacing person identifying information on the source datasets with an anonymous index number.  These pseudonymised datasets were then linked separately by EPCC within the National Safe Haven and combined to create a single value for each protected characteristic using pre-agreed business rules.  Analysis and testing were carried out on the final dataset within the NSH to test the application of the business rules and create summary statistics of the distributions of values.</w:t>
            </w:r>
          </w:p>
        </w:tc>
      </w:tr>
      <w:tr w:rsidR="00662AA9" w14:paraId="08E98597" w14:textId="77777777" w:rsidTr="00662AA9">
        <w:trPr>
          <w:trHeight w:hRule="exact" w:val="15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A6BFB" w14:textId="77777777" w:rsidR="00662AA9" w:rsidRDefault="00662AA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6AD5606" w14:textId="77777777" w:rsidR="00662AA9" w:rsidRDefault="00662AA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2C9F5DA" w14:textId="77777777" w:rsidR="00662AA9" w:rsidRDefault="00662AA9">
            <w:pPr>
              <w:rPr>
                <w:lang w:eastAsia="en-GB"/>
              </w:rPr>
            </w:pPr>
            <w:r>
              <w:rPr>
                <w:lang w:eastAsia="en-GB"/>
              </w:rPr>
              <w:t xml:space="preserve">A Summary report describing the Dataset has been prepared (and is attached).  This has been shared with researchers and others who may have an interest in using the dataset or for reviewing and providing feedback in relation to research requirements.  </w:t>
            </w:r>
          </w:p>
        </w:tc>
      </w:tr>
      <w:tr w:rsidR="00662AA9" w14:paraId="50268E32" w14:textId="77777777" w:rsidTr="00662AA9">
        <w:trPr>
          <w:trHeight w:hRule="exact" w:val="1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699B9" w14:textId="77777777" w:rsidR="00662AA9" w:rsidRDefault="00662AA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533F398" w14:textId="77777777" w:rsidR="00662AA9" w:rsidRDefault="00662AA9">
            <w:pPr>
              <w:spacing w:after="200" w:line="276" w:lineRule="auto"/>
              <w:ind w:left="20"/>
              <w:rPr>
                <w:lang w:eastAsia="en-GB"/>
              </w:rPr>
            </w:pPr>
            <w:r>
              <w:rPr>
                <w:lang w:eastAsia="en-GB"/>
              </w:rPr>
              <w:t>Did your study scope change from its original aims? Please give brief details.</w:t>
            </w:r>
          </w:p>
          <w:p w14:paraId="45150090" w14:textId="77777777" w:rsidR="00662AA9" w:rsidRDefault="00662AA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1C365D5" w14:textId="77777777" w:rsidR="00662AA9" w:rsidRDefault="00662AA9">
            <w:pPr>
              <w:rPr>
                <w:lang w:eastAsia="en-GB"/>
              </w:rPr>
            </w:pPr>
            <w:r>
              <w:rPr>
                <w:lang w:eastAsia="en-GB"/>
              </w:rPr>
              <w:t>The study scope did not change from the original aims.</w:t>
            </w:r>
          </w:p>
        </w:tc>
      </w:tr>
      <w:tr w:rsidR="00662AA9" w14:paraId="755B705D"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29EAA1" w14:textId="77777777" w:rsidR="00662AA9" w:rsidRDefault="00662AA9">
            <w:pPr>
              <w:spacing w:after="200" w:line="276" w:lineRule="auto"/>
              <w:rPr>
                <w:lang w:eastAsia="en-GB"/>
              </w:rPr>
            </w:pPr>
            <w:r>
              <w:rPr>
                <w:lang w:eastAsia="en-GB"/>
              </w:rPr>
              <w:lastRenderedPageBreak/>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1B13DB" w14:textId="77777777" w:rsidR="00662AA9" w:rsidRDefault="00662AA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D58BA8" w14:textId="77777777" w:rsidR="00662AA9" w:rsidRDefault="00662AA9">
            <w:pPr>
              <w:spacing w:after="200" w:line="276" w:lineRule="auto"/>
              <w:ind w:left="360"/>
              <w:rPr>
                <w:lang w:eastAsia="en-GB"/>
              </w:rPr>
            </w:pPr>
          </w:p>
        </w:tc>
      </w:tr>
      <w:tr w:rsidR="00662AA9" w14:paraId="563E49BF" w14:textId="77777777" w:rsidTr="00662AA9">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FF292CD"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7F6956C" w14:textId="77777777" w:rsidR="00662AA9" w:rsidRDefault="00662AA9">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9CF06A2" w14:textId="77777777" w:rsidR="00662AA9" w:rsidRDefault="00662AA9">
            <w:pPr>
              <w:rPr>
                <w:lang w:eastAsia="en-GB"/>
              </w:rPr>
            </w:pPr>
            <w:r>
              <w:rPr>
                <w:lang w:eastAsia="en-GB"/>
              </w:rPr>
              <w:t xml:space="preserve">The final dataset has captured a wide range of data on many of the protected characteristics of over 6.2 million individuals across the full distribution of age.  This includes individuals who have been born or moved to Scotland since the 2011 census.  It was not possible to capture information on sexual orientation or gender reassignment since these were not captured in any of the data sources.  The dataset can be linked to data on individuals from public sector organisations to allow analysis of equality issues such as uptake and outcomes across a range of characteristics and is sufficiently large to allow analysis of minorities at a granular level as well as intersectional analysis. </w:t>
            </w:r>
          </w:p>
        </w:tc>
      </w:tr>
      <w:tr w:rsidR="00662AA9" w14:paraId="2C043DD9"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9FF682" w14:textId="77777777" w:rsidR="00662AA9" w:rsidRDefault="00662AA9">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C0B610" w14:textId="77777777" w:rsidR="00662AA9" w:rsidRDefault="00662AA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155FAE" w14:textId="77777777" w:rsidR="00662AA9" w:rsidRDefault="00662AA9">
            <w:pPr>
              <w:spacing w:after="200" w:line="276" w:lineRule="auto"/>
              <w:ind w:left="360"/>
              <w:rPr>
                <w:lang w:eastAsia="en-GB"/>
              </w:rPr>
            </w:pPr>
          </w:p>
        </w:tc>
      </w:tr>
      <w:tr w:rsidR="00662AA9" w14:paraId="2CEB1B72" w14:textId="77777777" w:rsidTr="00662AA9">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39C58B0B"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A7408D6" w14:textId="77777777" w:rsidR="00662AA9" w:rsidRDefault="00662AA9">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083E831" w14:textId="77777777" w:rsidR="00662AA9" w:rsidRDefault="00662AA9">
            <w:pPr>
              <w:rPr>
                <w:lang w:eastAsia="en-GB"/>
              </w:rPr>
            </w:pPr>
            <w:r>
              <w:rPr>
                <w:lang w:eastAsia="en-GB"/>
              </w:rPr>
              <w:t>Future issues to be addressed from the first phase of the project are:</w:t>
            </w:r>
          </w:p>
          <w:p w14:paraId="5F6F493C" w14:textId="77777777" w:rsidR="00662AA9" w:rsidRDefault="00662AA9" w:rsidP="00662AA9">
            <w:pPr>
              <w:pStyle w:val="ListParagraph"/>
              <w:numPr>
                <w:ilvl w:val="0"/>
                <w:numId w:val="22"/>
              </w:numPr>
              <w:tabs>
                <w:tab w:val="left" w:pos="720"/>
                <w:tab w:val="left" w:pos="1440"/>
                <w:tab w:val="left" w:pos="2160"/>
                <w:tab w:val="left" w:pos="2880"/>
                <w:tab w:val="left" w:pos="4680"/>
                <w:tab w:val="left" w:pos="5400"/>
                <w:tab w:val="right" w:pos="9000"/>
              </w:tabs>
              <w:rPr>
                <w:lang w:eastAsia="en-GB"/>
              </w:rPr>
            </w:pPr>
            <w:r>
              <w:rPr>
                <w:lang w:eastAsia="en-GB"/>
              </w:rPr>
              <w:t>Fitness for purpose for use as a reference dataset by public sector organisations and researchers</w:t>
            </w:r>
          </w:p>
          <w:p w14:paraId="4B596DCC" w14:textId="77777777" w:rsidR="00662AA9" w:rsidRDefault="00662AA9" w:rsidP="00662AA9">
            <w:pPr>
              <w:pStyle w:val="ListParagraph"/>
              <w:numPr>
                <w:ilvl w:val="0"/>
                <w:numId w:val="22"/>
              </w:numPr>
              <w:tabs>
                <w:tab w:val="left" w:pos="720"/>
                <w:tab w:val="left" w:pos="1440"/>
                <w:tab w:val="left" w:pos="2160"/>
                <w:tab w:val="left" w:pos="2880"/>
                <w:tab w:val="left" w:pos="4680"/>
                <w:tab w:val="left" w:pos="5400"/>
                <w:tab w:val="right" w:pos="9000"/>
              </w:tabs>
              <w:rPr>
                <w:lang w:eastAsia="en-GB"/>
              </w:rPr>
            </w:pPr>
            <w:r>
              <w:rPr>
                <w:lang w:eastAsia="en-GB"/>
              </w:rPr>
              <w:t>Retention of data on different protected characteristics sourced from varying data sources at different times, included some heavily reliant on census 2011.</w:t>
            </w:r>
          </w:p>
          <w:p w14:paraId="40D5F8BC" w14:textId="77777777" w:rsidR="00662AA9" w:rsidRDefault="00662AA9" w:rsidP="00662AA9">
            <w:pPr>
              <w:pStyle w:val="ListParagraph"/>
              <w:numPr>
                <w:ilvl w:val="0"/>
                <w:numId w:val="22"/>
              </w:numPr>
              <w:tabs>
                <w:tab w:val="left" w:pos="720"/>
                <w:tab w:val="left" w:pos="1440"/>
                <w:tab w:val="left" w:pos="2160"/>
                <w:tab w:val="left" w:pos="2880"/>
                <w:tab w:val="left" w:pos="4680"/>
                <w:tab w:val="left" w:pos="5400"/>
                <w:tab w:val="right" w:pos="9000"/>
              </w:tabs>
              <w:rPr>
                <w:lang w:eastAsia="en-GB"/>
              </w:rPr>
            </w:pPr>
            <w:r>
              <w:rPr>
                <w:lang w:eastAsia="en-GB"/>
              </w:rPr>
              <w:t>Frequency and efficient methods of updating the values to reflect changing population and identities.</w:t>
            </w:r>
          </w:p>
          <w:p w14:paraId="6BB42507" w14:textId="77777777" w:rsidR="00662AA9" w:rsidRDefault="00662AA9" w:rsidP="00662AA9">
            <w:pPr>
              <w:pStyle w:val="ListParagraph"/>
              <w:numPr>
                <w:ilvl w:val="0"/>
                <w:numId w:val="22"/>
              </w:numPr>
              <w:tabs>
                <w:tab w:val="left" w:pos="720"/>
                <w:tab w:val="left" w:pos="1440"/>
                <w:tab w:val="left" w:pos="2160"/>
                <w:tab w:val="left" w:pos="2880"/>
                <w:tab w:val="left" w:pos="4680"/>
                <w:tab w:val="left" w:pos="5400"/>
                <w:tab w:val="right" w:pos="9000"/>
              </w:tabs>
              <w:rPr>
                <w:lang w:eastAsia="en-GB"/>
              </w:rPr>
            </w:pPr>
            <w:r>
              <w:rPr>
                <w:lang w:eastAsia="en-GB"/>
              </w:rPr>
              <w:t xml:space="preserve">Methods of suitable public engagement on the use of the as a dataset as a standing resource for research.  </w:t>
            </w:r>
          </w:p>
          <w:p w14:paraId="78FD6A7C" w14:textId="77777777" w:rsidR="00662AA9" w:rsidRDefault="00662AA9" w:rsidP="00662AA9">
            <w:pPr>
              <w:pStyle w:val="ListParagraph"/>
              <w:numPr>
                <w:ilvl w:val="0"/>
                <w:numId w:val="22"/>
              </w:numPr>
              <w:tabs>
                <w:tab w:val="left" w:pos="720"/>
                <w:tab w:val="left" w:pos="1440"/>
                <w:tab w:val="left" w:pos="2160"/>
                <w:tab w:val="left" w:pos="2880"/>
                <w:tab w:val="left" w:pos="4680"/>
                <w:tab w:val="left" w:pos="5400"/>
                <w:tab w:val="right" w:pos="9000"/>
              </w:tabs>
              <w:rPr>
                <w:lang w:eastAsia="en-GB"/>
              </w:rPr>
            </w:pPr>
            <w:r>
              <w:rPr>
                <w:lang w:eastAsia="en-GB"/>
              </w:rPr>
              <w:t>Ensuring consistency and lack of duplication with other data improvement initiatives, especially around ethnicity data.</w:t>
            </w:r>
          </w:p>
        </w:tc>
      </w:tr>
    </w:tbl>
    <w:p w14:paraId="5288BCC1" w14:textId="77777777" w:rsidR="00662AA9" w:rsidRDefault="00662AA9" w:rsidP="00662AA9">
      <w:pPr>
        <w:spacing w:line="240" w:lineRule="auto"/>
        <w:ind w:left="-851"/>
        <w:rPr>
          <w:rFonts w:ascii="Arial" w:eastAsia="Times New Roman" w:hAnsi="Arial" w:cs="Arial"/>
          <w:lang w:eastAsia="en-GB"/>
        </w:rPr>
      </w:pPr>
    </w:p>
    <w:p w14:paraId="40FB6C09" w14:textId="77777777" w:rsidR="00D53B63" w:rsidRDefault="00D53B63" w:rsidP="00662AA9">
      <w:pPr>
        <w:spacing w:line="240" w:lineRule="auto"/>
        <w:ind w:left="-851"/>
        <w:rPr>
          <w:rFonts w:ascii="Arial" w:eastAsia="Times New Roman" w:hAnsi="Arial" w:cs="Arial"/>
          <w:lang w:eastAsia="en-GB"/>
        </w:rPr>
      </w:pPr>
    </w:p>
    <w:p w14:paraId="440BEA0A" w14:textId="14AE6018" w:rsidR="00D53B63" w:rsidRDefault="00A73FEA" w:rsidP="00A73FEA">
      <w:pPr>
        <w:pStyle w:val="Heading2"/>
        <w:rPr>
          <w:rFonts w:eastAsia="Times New Roman"/>
          <w:lang w:eastAsia="en-GB"/>
        </w:rPr>
      </w:pPr>
      <w:bookmarkStart w:id="16" w:name="_2122-0102_Ms_Jan"/>
      <w:bookmarkEnd w:id="16"/>
      <w:r w:rsidRPr="00A73FEA">
        <w:rPr>
          <w:rFonts w:eastAsia="Times New Roman"/>
          <w:lang w:eastAsia="en-GB"/>
        </w:rPr>
        <w:t>2122-0102</w:t>
      </w:r>
      <w:r w:rsidRPr="00A73FEA">
        <w:rPr>
          <w:rFonts w:eastAsia="Times New Roman"/>
          <w:lang w:eastAsia="en-GB"/>
        </w:rPr>
        <w:tab/>
        <w:t>Ms Jan Mackenzie</w:t>
      </w:r>
    </w:p>
    <w:p w14:paraId="1097B2CA" w14:textId="77777777" w:rsidR="00A73FEA" w:rsidRDefault="00A73FEA" w:rsidP="00A73FEA">
      <w:pPr>
        <w:rPr>
          <w:lang w:eastAsia="en-GB"/>
        </w:rPr>
      </w:pPr>
    </w:p>
    <w:p w14:paraId="2CDCB214" w14:textId="5F2392CE" w:rsidR="00A73FEA" w:rsidRDefault="00A73FEA" w:rsidP="00A73FEA">
      <w:pPr>
        <w:rPr>
          <w:lang w:eastAsia="en-GB"/>
        </w:rPr>
      </w:pPr>
      <w:r w:rsidRPr="00A73FEA">
        <w:rPr>
          <w:lang w:eastAsia="en-GB"/>
        </w:rPr>
        <w:t>Transfusion Medicine Epidemiology Review (TMER)</w:t>
      </w:r>
    </w:p>
    <w:p w14:paraId="34E1C050" w14:textId="77777777" w:rsidR="00A73FEA" w:rsidRDefault="00A73FEA" w:rsidP="00A73FEA">
      <w:pPr>
        <w:spacing w:line="240" w:lineRule="auto"/>
        <w:jc w:val="center"/>
        <w:rPr>
          <w:b/>
          <w:sz w:val="32"/>
        </w:rPr>
      </w:pPr>
      <w:r>
        <w:rPr>
          <w:b/>
          <w:sz w:val="32"/>
        </w:rPr>
        <w:t>The Public Benefit Impact Summary</w:t>
      </w:r>
    </w:p>
    <w:p w14:paraId="539B8B53" w14:textId="77777777" w:rsidR="00A73FEA" w:rsidRDefault="00A73FEA" w:rsidP="00A73FEA">
      <w:pPr>
        <w:rPr>
          <w:b/>
        </w:rPr>
      </w:pPr>
    </w:p>
    <w:tbl>
      <w:tblPr>
        <w:tblStyle w:val="TableGrid"/>
        <w:tblW w:w="5000" w:type="pct"/>
        <w:tblLook w:val="04A0" w:firstRow="1" w:lastRow="0" w:firstColumn="1" w:lastColumn="0" w:noHBand="0" w:noVBand="1"/>
      </w:tblPr>
      <w:tblGrid>
        <w:gridCol w:w="339"/>
        <w:gridCol w:w="3359"/>
        <w:gridCol w:w="5318"/>
      </w:tblGrid>
      <w:tr w:rsidR="00A73FEA" w14:paraId="3D3C42D5"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3CD193" w14:textId="77777777" w:rsidR="00A73FEA" w:rsidRDefault="00A73FEA">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40AB19" w14:textId="77777777" w:rsidR="00A73FEA" w:rsidRDefault="00A73FEA">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F0CED9" w14:textId="77777777" w:rsidR="00A73FEA" w:rsidRDefault="00A73FEA">
            <w:pPr>
              <w:spacing w:after="200" w:line="276" w:lineRule="auto"/>
              <w:ind w:left="360"/>
              <w:rPr>
                <w:lang w:eastAsia="en-GB"/>
              </w:rPr>
            </w:pPr>
          </w:p>
        </w:tc>
      </w:tr>
      <w:tr w:rsidR="00A73FEA" w14:paraId="47EB83EF" w14:textId="77777777" w:rsidTr="00A73FEA">
        <w:trPr>
          <w:trHeight w:hRule="exact" w:val="1732"/>
        </w:trPr>
        <w:tc>
          <w:tcPr>
            <w:tcW w:w="188" w:type="pct"/>
            <w:tcBorders>
              <w:top w:val="single" w:sz="4" w:space="0" w:color="auto"/>
              <w:left w:val="single" w:sz="4" w:space="0" w:color="auto"/>
              <w:bottom w:val="single" w:sz="4" w:space="0" w:color="auto"/>
              <w:right w:val="single" w:sz="4" w:space="0" w:color="auto"/>
            </w:tcBorders>
            <w:vAlign w:val="center"/>
          </w:tcPr>
          <w:p w14:paraId="4BDCC3B7"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F4D1141" w14:textId="77777777" w:rsidR="00A73FEA" w:rsidRDefault="00A73FEA">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A9BD947" w14:textId="77777777" w:rsidR="00A73FEA" w:rsidRDefault="00A73FEA">
            <w:pPr>
              <w:rPr>
                <w:lang w:eastAsia="en-GB"/>
              </w:rPr>
            </w:pPr>
            <w:r>
              <w:rPr>
                <w:lang w:eastAsia="en-GB"/>
              </w:rPr>
              <w:t>The TMER project was set up with the aim of investigating whether Creutzfeldt Jakob Disease (CJD) and its variant form (vCJD) is transmissible through blood transfusion.</w:t>
            </w:r>
          </w:p>
        </w:tc>
      </w:tr>
      <w:tr w:rsidR="00A73FEA" w14:paraId="424E73C0"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14D81" w14:textId="77777777" w:rsidR="00A73FEA" w:rsidRDefault="00A73FEA">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713FF" w14:textId="77777777" w:rsidR="00A73FEA" w:rsidRDefault="00A73FEA">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46F814" w14:textId="77777777" w:rsidR="00A73FEA" w:rsidRDefault="00A73FEA">
            <w:pPr>
              <w:spacing w:after="200" w:line="276" w:lineRule="auto"/>
              <w:ind w:left="360"/>
              <w:rPr>
                <w:lang w:eastAsia="en-GB"/>
              </w:rPr>
            </w:pPr>
          </w:p>
          <w:p w14:paraId="67A7D3F5" w14:textId="77777777" w:rsidR="00A73FEA" w:rsidRDefault="00A73FEA">
            <w:pPr>
              <w:spacing w:after="200" w:line="276" w:lineRule="auto"/>
              <w:rPr>
                <w:lang w:eastAsia="en-GB"/>
              </w:rPr>
            </w:pPr>
          </w:p>
          <w:p w14:paraId="2C7B3CCA" w14:textId="77777777" w:rsidR="00A73FEA" w:rsidRDefault="00A73FEA">
            <w:pPr>
              <w:spacing w:after="200" w:line="276" w:lineRule="auto"/>
              <w:rPr>
                <w:lang w:eastAsia="en-GB"/>
              </w:rPr>
            </w:pPr>
          </w:p>
          <w:p w14:paraId="0ED7E29C" w14:textId="77777777" w:rsidR="00A73FEA" w:rsidRDefault="00A73FEA">
            <w:pPr>
              <w:spacing w:after="200" w:line="276" w:lineRule="auto"/>
              <w:rPr>
                <w:lang w:eastAsia="en-GB"/>
              </w:rPr>
            </w:pPr>
          </w:p>
          <w:p w14:paraId="0B1D2A41" w14:textId="77777777" w:rsidR="00A73FEA" w:rsidRDefault="00A73FEA">
            <w:pPr>
              <w:spacing w:after="200" w:line="276" w:lineRule="auto"/>
              <w:rPr>
                <w:lang w:eastAsia="en-GB"/>
              </w:rPr>
            </w:pPr>
          </w:p>
          <w:p w14:paraId="78EAC033" w14:textId="77777777" w:rsidR="00A73FEA" w:rsidRDefault="00A73FEA">
            <w:pPr>
              <w:spacing w:after="200" w:line="276" w:lineRule="auto"/>
              <w:rPr>
                <w:lang w:eastAsia="en-GB"/>
              </w:rPr>
            </w:pPr>
          </w:p>
          <w:p w14:paraId="60DC5465" w14:textId="77777777" w:rsidR="00A73FEA" w:rsidRDefault="00A73FEA">
            <w:pPr>
              <w:spacing w:after="200" w:line="276" w:lineRule="auto"/>
              <w:rPr>
                <w:lang w:eastAsia="en-GB"/>
              </w:rPr>
            </w:pPr>
          </w:p>
          <w:p w14:paraId="7F9E87DF" w14:textId="77777777" w:rsidR="00A73FEA" w:rsidRDefault="00A73FEA">
            <w:pPr>
              <w:spacing w:after="200" w:line="276" w:lineRule="auto"/>
              <w:rPr>
                <w:lang w:eastAsia="en-GB"/>
              </w:rPr>
            </w:pPr>
          </w:p>
          <w:p w14:paraId="7FCF6667" w14:textId="77777777" w:rsidR="00A73FEA" w:rsidRDefault="00A73FEA">
            <w:pPr>
              <w:spacing w:after="200" w:line="276" w:lineRule="auto"/>
              <w:rPr>
                <w:lang w:eastAsia="en-GB"/>
              </w:rPr>
            </w:pPr>
          </w:p>
          <w:p w14:paraId="529868F0" w14:textId="77777777" w:rsidR="00A73FEA" w:rsidRDefault="00A73FEA">
            <w:pPr>
              <w:spacing w:after="200" w:line="276" w:lineRule="auto"/>
              <w:rPr>
                <w:lang w:eastAsia="en-GB"/>
              </w:rPr>
            </w:pPr>
          </w:p>
          <w:p w14:paraId="3BFEB234" w14:textId="77777777" w:rsidR="00A73FEA" w:rsidRDefault="00A73FEA">
            <w:pPr>
              <w:spacing w:after="200" w:line="276" w:lineRule="auto"/>
              <w:rPr>
                <w:lang w:eastAsia="en-GB"/>
              </w:rPr>
            </w:pPr>
          </w:p>
          <w:p w14:paraId="350747C3" w14:textId="77777777" w:rsidR="00A73FEA" w:rsidRDefault="00A73FEA">
            <w:pPr>
              <w:spacing w:after="200" w:line="276" w:lineRule="auto"/>
              <w:rPr>
                <w:lang w:eastAsia="en-GB"/>
              </w:rPr>
            </w:pPr>
          </w:p>
          <w:p w14:paraId="7358D9A1" w14:textId="77777777" w:rsidR="00A73FEA" w:rsidRDefault="00A73FEA">
            <w:pPr>
              <w:spacing w:after="200" w:line="276" w:lineRule="auto"/>
              <w:rPr>
                <w:lang w:eastAsia="en-GB"/>
              </w:rPr>
            </w:pPr>
          </w:p>
          <w:p w14:paraId="32A1F4DE" w14:textId="77777777" w:rsidR="00A73FEA" w:rsidRDefault="00A73FEA">
            <w:pPr>
              <w:spacing w:after="200" w:line="276" w:lineRule="auto"/>
              <w:rPr>
                <w:lang w:eastAsia="en-GB"/>
              </w:rPr>
            </w:pPr>
          </w:p>
          <w:p w14:paraId="0A3BBA66" w14:textId="77777777" w:rsidR="00A73FEA" w:rsidRDefault="00A73FEA">
            <w:pPr>
              <w:spacing w:after="200" w:line="276" w:lineRule="auto"/>
              <w:rPr>
                <w:lang w:eastAsia="en-GB"/>
              </w:rPr>
            </w:pPr>
          </w:p>
          <w:p w14:paraId="306A950D" w14:textId="77777777" w:rsidR="00A73FEA" w:rsidRDefault="00A73FEA">
            <w:pPr>
              <w:spacing w:after="200" w:line="276" w:lineRule="auto"/>
              <w:rPr>
                <w:lang w:eastAsia="en-GB"/>
              </w:rPr>
            </w:pPr>
          </w:p>
          <w:p w14:paraId="03E4DDD5" w14:textId="77777777" w:rsidR="00A73FEA" w:rsidRDefault="00A73FEA">
            <w:pPr>
              <w:spacing w:after="200" w:line="276" w:lineRule="auto"/>
              <w:rPr>
                <w:lang w:eastAsia="en-GB"/>
              </w:rPr>
            </w:pPr>
          </w:p>
          <w:p w14:paraId="7E1EDA24" w14:textId="77777777" w:rsidR="00A73FEA" w:rsidRDefault="00A73FEA">
            <w:pPr>
              <w:spacing w:after="200" w:line="276" w:lineRule="auto"/>
              <w:rPr>
                <w:lang w:eastAsia="en-GB"/>
              </w:rPr>
            </w:pPr>
          </w:p>
          <w:p w14:paraId="00A385E7" w14:textId="77777777" w:rsidR="00A73FEA" w:rsidRDefault="00A73FEA">
            <w:pPr>
              <w:spacing w:after="200" w:line="276" w:lineRule="auto"/>
              <w:rPr>
                <w:lang w:eastAsia="en-GB"/>
              </w:rPr>
            </w:pPr>
          </w:p>
          <w:p w14:paraId="1C5494E9" w14:textId="77777777" w:rsidR="00A73FEA" w:rsidRDefault="00A73FEA">
            <w:pPr>
              <w:spacing w:after="200" w:line="276" w:lineRule="auto"/>
              <w:rPr>
                <w:lang w:eastAsia="en-GB"/>
              </w:rPr>
            </w:pPr>
          </w:p>
          <w:p w14:paraId="73E165A4" w14:textId="77777777" w:rsidR="00A73FEA" w:rsidRDefault="00A73FEA">
            <w:pPr>
              <w:spacing w:after="200" w:line="276" w:lineRule="auto"/>
              <w:rPr>
                <w:lang w:eastAsia="en-GB"/>
              </w:rPr>
            </w:pPr>
          </w:p>
          <w:p w14:paraId="2905365C" w14:textId="77777777" w:rsidR="00A73FEA" w:rsidRDefault="00A73FEA">
            <w:pPr>
              <w:spacing w:after="200" w:line="276" w:lineRule="auto"/>
              <w:rPr>
                <w:lang w:eastAsia="en-GB"/>
              </w:rPr>
            </w:pPr>
          </w:p>
          <w:p w14:paraId="48032756" w14:textId="77777777" w:rsidR="00A73FEA" w:rsidRDefault="00A73FEA">
            <w:pPr>
              <w:spacing w:after="200" w:line="276" w:lineRule="auto"/>
              <w:rPr>
                <w:lang w:eastAsia="en-GB"/>
              </w:rPr>
            </w:pPr>
          </w:p>
          <w:p w14:paraId="3C08E5C2" w14:textId="77777777" w:rsidR="00A73FEA" w:rsidRDefault="00A73FEA">
            <w:pPr>
              <w:spacing w:after="200" w:line="276" w:lineRule="auto"/>
              <w:rPr>
                <w:lang w:eastAsia="en-GB"/>
              </w:rPr>
            </w:pPr>
          </w:p>
          <w:p w14:paraId="3C63234F" w14:textId="77777777" w:rsidR="00A73FEA" w:rsidRDefault="00A73FEA">
            <w:pPr>
              <w:spacing w:after="200" w:line="276" w:lineRule="auto"/>
              <w:rPr>
                <w:lang w:eastAsia="en-GB"/>
              </w:rPr>
            </w:pPr>
          </w:p>
        </w:tc>
      </w:tr>
      <w:tr w:rsidR="00A73FEA" w14:paraId="20FA7BA2" w14:textId="77777777" w:rsidTr="00A73FEA">
        <w:trPr>
          <w:trHeight w:hRule="exact" w:val="3646"/>
        </w:trPr>
        <w:tc>
          <w:tcPr>
            <w:tcW w:w="188" w:type="pct"/>
            <w:tcBorders>
              <w:top w:val="single" w:sz="4" w:space="0" w:color="auto"/>
              <w:left w:val="single" w:sz="4" w:space="0" w:color="auto"/>
              <w:bottom w:val="single" w:sz="4" w:space="0" w:color="auto"/>
              <w:right w:val="single" w:sz="4" w:space="0" w:color="auto"/>
            </w:tcBorders>
            <w:vAlign w:val="center"/>
          </w:tcPr>
          <w:p w14:paraId="56BB75B9"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0A02667" w14:textId="77777777" w:rsidR="00A73FEA" w:rsidRDefault="00A73FEA">
            <w:pPr>
              <w:spacing w:after="200" w:line="276" w:lineRule="auto"/>
              <w:ind w:left="20"/>
              <w:rPr>
                <w:lang w:eastAsia="en-GB"/>
              </w:rPr>
            </w:pPr>
            <w:r>
              <w:rPr>
                <w:lang w:eastAsia="en-GB"/>
              </w:rPr>
              <w:t>How will these outcomes directly result in benefit for the public? Please give details. This should be the main section answered.</w:t>
            </w:r>
          </w:p>
          <w:p w14:paraId="4AEE2259" w14:textId="77777777" w:rsidR="00A73FEA" w:rsidRDefault="00A73FEA">
            <w:pPr>
              <w:spacing w:after="200" w:line="276" w:lineRule="auto"/>
              <w:ind w:left="20"/>
              <w:rPr>
                <w:lang w:eastAsia="en-GB"/>
              </w:rPr>
            </w:pPr>
          </w:p>
          <w:p w14:paraId="2CA87D96" w14:textId="77777777" w:rsidR="00A73FEA" w:rsidRDefault="00A73FEA">
            <w:pPr>
              <w:spacing w:after="200" w:line="276" w:lineRule="auto"/>
              <w:ind w:left="20"/>
              <w:rPr>
                <w:lang w:eastAsia="en-GB"/>
              </w:rPr>
            </w:pPr>
          </w:p>
          <w:p w14:paraId="56E6A162" w14:textId="77777777" w:rsidR="00A73FEA" w:rsidRDefault="00A73FEA">
            <w:pPr>
              <w:spacing w:after="200" w:line="276" w:lineRule="auto"/>
              <w:ind w:left="20"/>
              <w:rPr>
                <w:lang w:eastAsia="en-GB"/>
              </w:rPr>
            </w:pPr>
          </w:p>
          <w:p w14:paraId="68CA07CA" w14:textId="77777777" w:rsidR="00A73FEA" w:rsidRDefault="00A73FEA">
            <w:pPr>
              <w:spacing w:after="200" w:line="276" w:lineRule="auto"/>
              <w:ind w:left="20"/>
              <w:rPr>
                <w:lang w:eastAsia="en-GB"/>
              </w:rPr>
            </w:pPr>
          </w:p>
          <w:p w14:paraId="2999AC65" w14:textId="77777777" w:rsidR="00A73FEA" w:rsidRDefault="00A73FEA">
            <w:pPr>
              <w:spacing w:after="200" w:line="276" w:lineRule="auto"/>
              <w:ind w:left="20"/>
              <w:rPr>
                <w:lang w:eastAsia="en-GB"/>
              </w:rPr>
            </w:pPr>
          </w:p>
          <w:p w14:paraId="07777AA2" w14:textId="77777777" w:rsidR="00A73FEA" w:rsidRDefault="00A73FEA">
            <w:pPr>
              <w:spacing w:after="200" w:line="276" w:lineRule="auto"/>
              <w:ind w:left="20"/>
              <w:rPr>
                <w:lang w:eastAsia="en-GB"/>
              </w:rPr>
            </w:pPr>
          </w:p>
          <w:p w14:paraId="0DA84776"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BCA2C99" w14:textId="77777777" w:rsidR="00A73FEA" w:rsidRDefault="00A73FEA">
            <w:pPr>
              <w:rPr>
                <w:lang w:eastAsia="en-GB"/>
              </w:rPr>
            </w:pPr>
            <w:r>
              <w:rPr>
                <w:lang w:eastAsia="en-GB"/>
              </w:rPr>
              <w:t>The identification of transfusion transmission of vCJD through the TMER study has had profound implications for public health nationally and internationally and has resulted in policies aimed at minimising the risk of further transmission, for example the deferral of transfusion recipients as donors in the UK.  It is crucial to determine whether there are further cases of transfusion transmission as this will inform public policy and serve the wider public interest.  There are many unresolved questions including the risk to recipients, the level of infectivity of blood and the potential for a large population of infected donors that could lead to further cases.</w:t>
            </w:r>
          </w:p>
          <w:p w14:paraId="661D9BEF" w14:textId="77777777" w:rsidR="00A73FEA" w:rsidRDefault="00A73FEA">
            <w:pPr>
              <w:spacing w:line="360" w:lineRule="auto"/>
              <w:rPr>
                <w:lang w:eastAsia="en-GB"/>
              </w:rPr>
            </w:pPr>
          </w:p>
          <w:p w14:paraId="18F3FC10" w14:textId="77777777" w:rsidR="00A73FEA" w:rsidRDefault="00A73FEA">
            <w:pPr>
              <w:spacing w:line="360" w:lineRule="auto"/>
              <w:rPr>
                <w:lang w:eastAsia="en-GB"/>
              </w:rPr>
            </w:pPr>
          </w:p>
          <w:p w14:paraId="6319BC4A" w14:textId="77777777" w:rsidR="00A73FEA" w:rsidRDefault="00A73FEA">
            <w:pPr>
              <w:spacing w:line="360" w:lineRule="auto"/>
              <w:rPr>
                <w:lang w:eastAsia="en-GB"/>
              </w:rPr>
            </w:pPr>
          </w:p>
          <w:p w14:paraId="6D5951D9" w14:textId="77777777" w:rsidR="00A73FEA" w:rsidRDefault="00A73FEA">
            <w:pPr>
              <w:spacing w:line="360" w:lineRule="auto"/>
              <w:rPr>
                <w:lang w:eastAsia="en-GB"/>
              </w:rPr>
            </w:pPr>
          </w:p>
          <w:p w14:paraId="16A5F269" w14:textId="77777777" w:rsidR="00A73FEA" w:rsidRDefault="00A73FEA">
            <w:pPr>
              <w:spacing w:line="360" w:lineRule="auto"/>
              <w:rPr>
                <w:lang w:eastAsia="en-GB"/>
              </w:rPr>
            </w:pPr>
          </w:p>
          <w:p w14:paraId="7751744B" w14:textId="77777777" w:rsidR="00A73FEA" w:rsidRDefault="00A73FEA">
            <w:pPr>
              <w:spacing w:line="360" w:lineRule="auto"/>
              <w:rPr>
                <w:lang w:eastAsia="en-GB"/>
              </w:rPr>
            </w:pPr>
          </w:p>
          <w:p w14:paraId="0AE74C66" w14:textId="77777777" w:rsidR="00A73FEA" w:rsidRDefault="00A73FEA">
            <w:pPr>
              <w:spacing w:line="360" w:lineRule="auto"/>
              <w:rPr>
                <w:lang w:eastAsia="en-GB"/>
              </w:rPr>
            </w:pPr>
          </w:p>
          <w:p w14:paraId="666A8EF0" w14:textId="77777777" w:rsidR="00A73FEA" w:rsidRDefault="00A73FEA">
            <w:pPr>
              <w:spacing w:line="360" w:lineRule="auto"/>
              <w:rPr>
                <w:lang w:eastAsia="en-GB"/>
              </w:rPr>
            </w:pPr>
          </w:p>
        </w:tc>
      </w:tr>
      <w:tr w:rsidR="00A73FEA" w14:paraId="775D96E2"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65C5A6" w14:textId="77777777" w:rsidR="00A73FEA" w:rsidRDefault="00A73FEA">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5C5C4E" w14:textId="77777777" w:rsidR="00A73FEA" w:rsidRDefault="00A73FEA">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4DDE7F" w14:textId="77777777" w:rsidR="00A73FEA" w:rsidRDefault="00A73FEA">
            <w:pPr>
              <w:spacing w:after="200" w:line="276" w:lineRule="auto"/>
              <w:ind w:left="360"/>
              <w:rPr>
                <w:lang w:eastAsia="en-GB"/>
              </w:rPr>
            </w:pPr>
          </w:p>
        </w:tc>
      </w:tr>
      <w:tr w:rsidR="00A73FEA" w14:paraId="6314A5C4" w14:textId="77777777" w:rsidTr="00A73FEA">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5C7259C1"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EA327B" w14:textId="77777777" w:rsidR="00A73FEA" w:rsidRDefault="00A73FEA">
            <w:pPr>
              <w:spacing w:after="200" w:line="276" w:lineRule="auto"/>
              <w:ind w:left="20"/>
              <w:rPr>
                <w:lang w:eastAsia="en-GB"/>
              </w:rPr>
            </w:pPr>
            <w:r>
              <w:rPr>
                <w:lang w:eastAsia="en-GB"/>
              </w:rPr>
              <w:t xml:space="preserve">What data were received/processed/collected? </w:t>
            </w:r>
          </w:p>
          <w:p w14:paraId="189F6BB5" w14:textId="77777777" w:rsidR="00A73FEA" w:rsidRDefault="00A73FEA">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36F3BC1F" w14:textId="77777777" w:rsidR="00A73FEA" w:rsidRDefault="00A73FEA">
            <w:pPr>
              <w:rPr>
                <w:lang w:eastAsia="en-GB"/>
              </w:rPr>
            </w:pPr>
            <w:r>
              <w:rPr>
                <w:lang w:eastAsia="en-GB"/>
              </w:rPr>
              <w:t>Collected were details of CJD/vCJD cases and their blood donation and blood transfusion status. Processed and received were details of recipients from/donors to, these CJD/vCJD cases.  This was as expected.</w:t>
            </w:r>
          </w:p>
          <w:p w14:paraId="3F84C209" w14:textId="77777777" w:rsidR="00A73FEA" w:rsidRDefault="00A73FEA">
            <w:pPr>
              <w:rPr>
                <w:lang w:eastAsia="en-GB"/>
              </w:rPr>
            </w:pPr>
          </w:p>
        </w:tc>
      </w:tr>
      <w:tr w:rsidR="00A73FEA" w14:paraId="1DC97466"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282985" w14:textId="77777777" w:rsidR="00A73FEA" w:rsidRDefault="00A73FEA">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CD9A92" w14:textId="77777777" w:rsidR="00A73FEA" w:rsidRDefault="00A73FEA">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AFC947" w14:textId="77777777" w:rsidR="00A73FEA" w:rsidRDefault="00A73FEA">
            <w:pPr>
              <w:spacing w:after="200" w:line="276" w:lineRule="auto"/>
              <w:ind w:left="360"/>
              <w:rPr>
                <w:lang w:eastAsia="en-GB"/>
              </w:rPr>
            </w:pPr>
          </w:p>
        </w:tc>
      </w:tr>
      <w:tr w:rsidR="00A73FEA" w14:paraId="6F474AD8" w14:textId="77777777" w:rsidTr="00A73FEA">
        <w:trPr>
          <w:trHeight w:val="680"/>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4832B18"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71920D8" w14:textId="77777777" w:rsidR="00A73FEA" w:rsidRDefault="00A73FEA">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A0DD23E" w14:textId="77777777" w:rsidR="00A73FEA" w:rsidRDefault="00A73FEA">
            <w:pPr>
              <w:rPr>
                <w:lang w:eastAsia="en-GB"/>
              </w:rPr>
            </w:pPr>
            <w:r>
              <w:rPr>
                <w:lang w:eastAsia="en-GB"/>
              </w:rPr>
              <w:t>Cases of CJD/vCJD were identified by NCJDRSU as part of their UK CJD surveillance programme.</w:t>
            </w:r>
          </w:p>
        </w:tc>
      </w:tr>
      <w:tr w:rsidR="00A73FEA" w14:paraId="6A6D4B30" w14:textId="77777777" w:rsidTr="00A73FEA">
        <w:trPr>
          <w:trHeight w:hRule="exact" w:val="20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F34C3" w14:textId="77777777" w:rsidR="00A73FEA" w:rsidRDefault="00A73FEA">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B67CCB7" w14:textId="77777777" w:rsidR="00A73FEA" w:rsidRDefault="00A73FEA">
            <w:pPr>
              <w:spacing w:after="200" w:line="276" w:lineRule="auto"/>
              <w:ind w:left="20"/>
              <w:rPr>
                <w:lang w:eastAsia="en-GB"/>
              </w:rPr>
            </w:pPr>
            <w:r>
              <w:rPr>
                <w:lang w:eastAsia="en-GB"/>
              </w:rPr>
              <w:t xml:space="preserve">How did you process the data? </w:t>
            </w:r>
          </w:p>
          <w:p w14:paraId="08258B4F"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35E0EDF" w14:textId="77777777" w:rsidR="00A73FEA" w:rsidRDefault="00A73FEA">
            <w:pPr>
              <w:spacing w:after="200"/>
              <w:ind w:left="20"/>
              <w:rPr>
                <w:lang w:eastAsia="en-GB"/>
              </w:rPr>
            </w:pPr>
            <w:r>
              <w:rPr>
                <w:lang w:eastAsia="en-GB"/>
              </w:rPr>
              <w:t xml:space="preserve">Cases of CJD/vCJD were sent to NHSBT to check their blood donor status and cases of CJD/vCJD who had previously received blood transfusion(s) were sent to NHSBT to identify potential donors. Details of recipients from, and donors to, CJD/vCJD cases were sent back to NCJDRSU to check </w:t>
            </w:r>
          </w:p>
        </w:tc>
      </w:tr>
      <w:tr w:rsidR="00A73FEA" w14:paraId="52195C8E" w14:textId="77777777" w:rsidTr="00A73FEA">
        <w:trPr>
          <w:trHeight w:hRule="exact" w:val="8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A69E5" w14:textId="77777777" w:rsidR="00A73FEA" w:rsidRDefault="00A73FEA">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4ED60E4" w14:textId="77777777" w:rsidR="00A73FEA" w:rsidRDefault="00A73FEA">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1AAD77B" w14:textId="77777777" w:rsidR="00A73FEA" w:rsidRDefault="00A73FEA">
            <w:pPr>
              <w:rPr>
                <w:lang w:eastAsia="en-GB"/>
              </w:rPr>
            </w:pPr>
            <w:r>
              <w:rPr>
                <w:lang w:eastAsia="en-GB"/>
              </w:rPr>
              <w:t>Several articles were published in peer-reviewed journals and abstracts/posters shown at national and international conferences.</w:t>
            </w:r>
          </w:p>
        </w:tc>
      </w:tr>
      <w:tr w:rsidR="00A73FEA" w14:paraId="61E131C2" w14:textId="77777777" w:rsidTr="00A73FEA">
        <w:trPr>
          <w:trHeight w:hRule="exact" w:val="2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08961" w14:textId="77777777" w:rsidR="00A73FEA" w:rsidRDefault="00A73FEA">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9A32740" w14:textId="77777777" w:rsidR="00A73FEA" w:rsidRDefault="00A73FEA">
            <w:pPr>
              <w:spacing w:after="200" w:line="276" w:lineRule="auto"/>
              <w:ind w:left="20"/>
              <w:rPr>
                <w:lang w:eastAsia="en-GB"/>
              </w:rPr>
            </w:pPr>
            <w:r>
              <w:rPr>
                <w:lang w:eastAsia="en-GB"/>
              </w:rPr>
              <w:t>Did your study scope change from its original aims? Please give brief details.</w:t>
            </w:r>
          </w:p>
          <w:p w14:paraId="6325BA5C"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96B3BC8" w14:textId="77777777" w:rsidR="00A73FEA" w:rsidRDefault="00A73FEA">
            <w:pPr>
              <w:rPr>
                <w:lang w:eastAsia="en-GB"/>
              </w:rPr>
            </w:pPr>
            <w:r>
              <w:rPr>
                <w:lang w:eastAsia="en-GB"/>
              </w:rPr>
              <w:t>The scope changed in 2017 after an audit on the reliability of surrogate witnesses where it was found that some cases where the surrogate witness had denied a history of blood donation in the case were found to be registered as blood donors in the past.  From 2017 all cases of CJD were sent for donation status checking regardless of their reported history of blood donation.  Previously only cases with a reported donation history were sent for checking.</w:t>
            </w:r>
          </w:p>
        </w:tc>
      </w:tr>
      <w:tr w:rsidR="00A73FEA" w14:paraId="120434E5"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3ED1F8" w14:textId="77777777" w:rsidR="00A73FEA" w:rsidRDefault="00A73FEA">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09DF8C" w14:textId="77777777" w:rsidR="00A73FEA" w:rsidRDefault="00A73FEA">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D1F07F" w14:textId="77777777" w:rsidR="00A73FEA" w:rsidRDefault="00A73FEA">
            <w:pPr>
              <w:spacing w:after="200" w:line="276" w:lineRule="auto"/>
              <w:ind w:left="360"/>
              <w:rPr>
                <w:lang w:eastAsia="en-GB"/>
              </w:rPr>
            </w:pPr>
          </w:p>
        </w:tc>
      </w:tr>
      <w:tr w:rsidR="00A73FEA" w14:paraId="3936EBF4" w14:textId="77777777" w:rsidTr="00A73FEA">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66DF94D"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401DD16" w14:textId="77777777" w:rsidR="00A73FEA" w:rsidRDefault="00A73FEA">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68B4DDD" w14:textId="77777777" w:rsidR="00A73FEA" w:rsidRDefault="00A73FEA">
            <w:pPr>
              <w:spacing w:line="276" w:lineRule="auto"/>
              <w:rPr>
                <w:lang w:eastAsia="en-GB"/>
              </w:rPr>
            </w:pPr>
            <w:r>
              <w:rPr>
                <w:lang w:eastAsia="en-GB"/>
              </w:rPr>
              <w:t xml:space="preserve">Three cases of vCJD and one sub-clinical infection have been linked to transfusion transmission through this study. </w:t>
            </w:r>
          </w:p>
        </w:tc>
      </w:tr>
      <w:tr w:rsidR="00A73FEA" w14:paraId="5BD8FD5C"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06D339" w14:textId="77777777" w:rsidR="00A73FEA" w:rsidRDefault="00A73FEA">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E1F48C" w14:textId="77777777" w:rsidR="00A73FEA" w:rsidRDefault="00A73FEA">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6F533C" w14:textId="77777777" w:rsidR="00A73FEA" w:rsidRDefault="00A73FEA">
            <w:pPr>
              <w:spacing w:after="200" w:line="276" w:lineRule="auto"/>
              <w:ind w:left="360"/>
              <w:rPr>
                <w:lang w:eastAsia="en-GB"/>
              </w:rPr>
            </w:pPr>
          </w:p>
        </w:tc>
      </w:tr>
      <w:tr w:rsidR="00A73FEA" w14:paraId="6741D471" w14:textId="77777777" w:rsidTr="00A73FEA">
        <w:trPr>
          <w:trHeight w:val="1211"/>
        </w:trPr>
        <w:tc>
          <w:tcPr>
            <w:tcW w:w="188" w:type="pct"/>
            <w:tcBorders>
              <w:top w:val="single" w:sz="4" w:space="0" w:color="auto"/>
              <w:left w:val="single" w:sz="4" w:space="0" w:color="auto"/>
              <w:bottom w:val="single" w:sz="4" w:space="0" w:color="auto"/>
              <w:right w:val="single" w:sz="4" w:space="0" w:color="auto"/>
            </w:tcBorders>
            <w:vAlign w:val="center"/>
          </w:tcPr>
          <w:p w14:paraId="2E7CA716"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F22C9B6" w14:textId="77777777" w:rsidR="00A73FEA" w:rsidRDefault="00A73FEA">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4A13955" w14:textId="77777777" w:rsidR="00A73FEA" w:rsidRDefault="00A73FEA">
            <w:pPr>
              <w:rPr>
                <w:lang w:eastAsia="en-GB"/>
              </w:rPr>
            </w:pPr>
            <w:r>
              <w:rPr>
                <w:lang w:eastAsia="en-GB"/>
              </w:rPr>
              <w:t>Risk to recipients, the level of infectivity of blood and the potential for a large population of infected donors that could lead to further cases.</w:t>
            </w:r>
          </w:p>
          <w:p w14:paraId="68217992" w14:textId="77777777" w:rsidR="00A73FEA" w:rsidRDefault="00A73FEA">
            <w:pPr>
              <w:rPr>
                <w:lang w:eastAsia="en-GB"/>
              </w:rPr>
            </w:pPr>
          </w:p>
        </w:tc>
      </w:tr>
    </w:tbl>
    <w:p w14:paraId="5E88708E" w14:textId="77777777" w:rsidR="00A73FEA" w:rsidRPr="00A73FEA" w:rsidRDefault="00A73FEA" w:rsidP="00A73FEA">
      <w:pPr>
        <w:rPr>
          <w:lang w:eastAsia="en-GB"/>
        </w:rPr>
      </w:pPr>
    </w:p>
    <w:p w14:paraId="61B04B38" w14:textId="77777777" w:rsidR="00D53B63" w:rsidRDefault="00D53B63" w:rsidP="00662AA9">
      <w:pPr>
        <w:spacing w:line="240" w:lineRule="auto"/>
        <w:ind w:left="-851"/>
        <w:rPr>
          <w:rFonts w:ascii="Arial" w:eastAsia="Times New Roman" w:hAnsi="Arial" w:cs="Arial"/>
          <w:lang w:eastAsia="en-GB"/>
        </w:rPr>
      </w:pPr>
    </w:p>
    <w:p w14:paraId="6BEB41A9" w14:textId="77777777" w:rsidR="00D53B63" w:rsidRDefault="00D53B63" w:rsidP="00662AA9">
      <w:pPr>
        <w:spacing w:line="240" w:lineRule="auto"/>
        <w:ind w:left="-851"/>
        <w:rPr>
          <w:rFonts w:ascii="Arial" w:eastAsia="Times New Roman" w:hAnsi="Arial" w:cs="Arial"/>
          <w:lang w:eastAsia="en-GB"/>
        </w:rPr>
      </w:pPr>
    </w:p>
    <w:p w14:paraId="122ECE18" w14:textId="77777777" w:rsidR="00D53B63" w:rsidRDefault="00D53B63" w:rsidP="00662AA9">
      <w:pPr>
        <w:spacing w:line="240" w:lineRule="auto"/>
        <w:ind w:left="-851"/>
        <w:rPr>
          <w:rFonts w:ascii="Arial" w:eastAsia="Times New Roman" w:hAnsi="Arial" w:cs="Arial"/>
          <w:lang w:eastAsia="en-GB"/>
        </w:rPr>
      </w:pPr>
    </w:p>
    <w:p w14:paraId="623D4869" w14:textId="77777777" w:rsidR="00D53B63" w:rsidRDefault="00D53B63" w:rsidP="00662AA9">
      <w:pPr>
        <w:spacing w:line="240" w:lineRule="auto"/>
        <w:ind w:left="-851"/>
        <w:rPr>
          <w:rFonts w:ascii="Arial" w:eastAsia="Times New Roman" w:hAnsi="Arial" w:cs="Arial"/>
          <w:lang w:eastAsia="en-GB"/>
        </w:rPr>
      </w:pPr>
    </w:p>
    <w:p w14:paraId="4F9B68CE" w14:textId="77777777" w:rsidR="00D53B63" w:rsidRDefault="00D53B63" w:rsidP="00662AA9">
      <w:pPr>
        <w:spacing w:line="240" w:lineRule="auto"/>
        <w:ind w:left="-851"/>
        <w:rPr>
          <w:rFonts w:ascii="Arial" w:eastAsia="Times New Roman" w:hAnsi="Arial" w:cs="Arial"/>
          <w:lang w:eastAsia="en-GB"/>
        </w:rPr>
      </w:pPr>
    </w:p>
    <w:p w14:paraId="538B8D6B" w14:textId="77777777" w:rsidR="00A73FEA" w:rsidRDefault="00A73FEA" w:rsidP="00662AA9">
      <w:pPr>
        <w:spacing w:line="240" w:lineRule="auto"/>
        <w:ind w:left="-851"/>
        <w:rPr>
          <w:rFonts w:ascii="Arial" w:eastAsia="Times New Roman" w:hAnsi="Arial" w:cs="Arial"/>
          <w:lang w:eastAsia="en-GB"/>
        </w:rPr>
      </w:pPr>
    </w:p>
    <w:p w14:paraId="13D98464" w14:textId="77777777" w:rsidR="00A73FEA" w:rsidRDefault="00A73FEA" w:rsidP="00662AA9">
      <w:pPr>
        <w:spacing w:line="240" w:lineRule="auto"/>
        <w:ind w:left="-851"/>
        <w:rPr>
          <w:rFonts w:ascii="Arial" w:eastAsia="Times New Roman" w:hAnsi="Arial" w:cs="Arial"/>
          <w:lang w:eastAsia="en-GB"/>
        </w:rPr>
      </w:pPr>
    </w:p>
    <w:p w14:paraId="4FBA3544" w14:textId="469E0919" w:rsidR="00D53B63" w:rsidRDefault="00A73FEA" w:rsidP="00A73FEA">
      <w:pPr>
        <w:pStyle w:val="Heading2"/>
        <w:rPr>
          <w:rFonts w:eastAsia="Times New Roman"/>
          <w:lang w:eastAsia="en-GB"/>
        </w:rPr>
      </w:pPr>
      <w:bookmarkStart w:id="17" w:name="_2122-0132_Michelle_Oliver"/>
      <w:bookmarkEnd w:id="17"/>
      <w:r w:rsidRPr="00A73FEA">
        <w:rPr>
          <w:rFonts w:eastAsia="Times New Roman"/>
          <w:lang w:eastAsia="en-GB"/>
        </w:rPr>
        <w:t>2122-0132</w:t>
      </w:r>
      <w:r w:rsidRPr="00A73FEA">
        <w:rPr>
          <w:rFonts w:eastAsia="Times New Roman"/>
          <w:lang w:eastAsia="en-GB"/>
        </w:rPr>
        <w:tab/>
        <w:t>Michelle Oliver</w:t>
      </w:r>
    </w:p>
    <w:p w14:paraId="04191661" w14:textId="77777777" w:rsidR="00A73FEA" w:rsidRDefault="00A73FEA" w:rsidP="00A73FEA">
      <w:pPr>
        <w:rPr>
          <w:lang w:eastAsia="en-GB"/>
        </w:rPr>
      </w:pPr>
    </w:p>
    <w:p w14:paraId="2389AB50" w14:textId="7BAE261B" w:rsidR="00A73FEA" w:rsidRDefault="00A73FEA" w:rsidP="00A73FEA">
      <w:pPr>
        <w:rPr>
          <w:b/>
          <w:bCs/>
          <w:sz w:val="24"/>
          <w:szCs w:val="24"/>
          <w:lang w:eastAsia="en-GB"/>
        </w:rPr>
      </w:pPr>
      <w:r w:rsidRPr="00A73FEA">
        <w:rPr>
          <w:b/>
          <w:bCs/>
          <w:sz w:val="24"/>
          <w:szCs w:val="24"/>
          <w:lang w:eastAsia="en-GB"/>
        </w:rPr>
        <w:t>An exploration of the experiences of identity and resilience in adolescents assigned female at birth (AFAB) with Autism Spectrum Disorder (ASD) and Gender Dysphoria (GD) who have not surgically transitioned: An Interpretative phenomenological analysis (IPA) study</w:t>
      </w:r>
    </w:p>
    <w:p w14:paraId="43F63C73" w14:textId="77777777" w:rsidR="00A73FEA" w:rsidRDefault="00A73FEA" w:rsidP="00A73FEA">
      <w:pPr>
        <w:spacing w:line="240" w:lineRule="auto"/>
        <w:jc w:val="center"/>
        <w:rPr>
          <w:b/>
        </w:rPr>
      </w:pPr>
      <w:r>
        <w:rPr>
          <w:b/>
        </w:rPr>
        <w:t>The Public Benefit Impact Summary</w:t>
      </w:r>
    </w:p>
    <w:p w14:paraId="5879F060" w14:textId="77777777" w:rsidR="00A73FEA" w:rsidRDefault="00A73FEA" w:rsidP="00A73FEA">
      <w:pPr>
        <w:rPr>
          <w:b/>
        </w:rPr>
      </w:pPr>
    </w:p>
    <w:tbl>
      <w:tblPr>
        <w:tblStyle w:val="TableGrid"/>
        <w:tblW w:w="5000" w:type="pct"/>
        <w:tblLook w:val="04A0" w:firstRow="1" w:lastRow="0" w:firstColumn="1" w:lastColumn="0" w:noHBand="0" w:noVBand="1"/>
      </w:tblPr>
      <w:tblGrid>
        <w:gridCol w:w="339"/>
        <w:gridCol w:w="3359"/>
        <w:gridCol w:w="5318"/>
      </w:tblGrid>
      <w:tr w:rsidR="00A73FEA" w14:paraId="5221CE62"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078298" w14:textId="77777777" w:rsidR="00A73FEA" w:rsidRDefault="00A73FEA">
            <w:pPr>
              <w:spacing w:after="200" w:line="276" w:lineRule="auto"/>
              <w:rPr>
                <w:rFonts w:eastAsia="Times New Roman"/>
                <w:sz w:val="24"/>
                <w:szCs w:val="24"/>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29D464" w14:textId="77777777" w:rsidR="00A73FEA" w:rsidRDefault="00A73FEA">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C5CBA2" w14:textId="77777777" w:rsidR="00A73FEA" w:rsidRDefault="00A73FEA">
            <w:pPr>
              <w:spacing w:after="200" w:line="276" w:lineRule="auto"/>
              <w:ind w:left="360"/>
              <w:rPr>
                <w:lang w:eastAsia="en-GB"/>
              </w:rPr>
            </w:pPr>
          </w:p>
        </w:tc>
      </w:tr>
      <w:tr w:rsidR="00A73FEA" w14:paraId="3A7F8EB5" w14:textId="77777777" w:rsidTr="00A73FEA">
        <w:trPr>
          <w:trHeight w:hRule="exact" w:val="4445"/>
        </w:trPr>
        <w:tc>
          <w:tcPr>
            <w:tcW w:w="188" w:type="pct"/>
            <w:tcBorders>
              <w:top w:val="single" w:sz="4" w:space="0" w:color="auto"/>
              <w:left w:val="single" w:sz="4" w:space="0" w:color="auto"/>
              <w:bottom w:val="single" w:sz="4" w:space="0" w:color="auto"/>
              <w:right w:val="single" w:sz="4" w:space="0" w:color="auto"/>
            </w:tcBorders>
            <w:vAlign w:val="center"/>
          </w:tcPr>
          <w:p w14:paraId="75F758D8"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D184F1B" w14:textId="77777777" w:rsidR="00A73FEA" w:rsidRDefault="00A73FEA">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89F835F" w14:textId="77777777" w:rsidR="00A73FEA" w:rsidRDefault="00A73FEA">
            <w:pPr>
              <w:spacing w:line="360" w:lineRule="auto"/>
              <w:rPr>
                <w:lang w:eastAsia="en-GB"/>
              </w:rPr>
            </w:pPr>
            <w:r>
              <w:rPr>
                <w:color w:val="222222"/>
                <w:shd w:val="clear" w:color="auto" w:fill="FFFFFF"/>
              </w:rPr>
              <w:t xml:space="preserve">This study aimed to explore experiences of Gender Dysphoria in Autistic adolescents assigned female at birth. It also set out to have a particular focus on identity and resilience. </w:t>
            </w:r>
          </w:p>
        </w:tc>
      </w:tr>
      <w:tr w:rsidR="00A73FEA" w14:paraId="2623D032"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927C43" w14:textId="77777777" w:rsidR="00A73FEA" w:rsidRDefault="00A73FEA">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B5ED41" w14:textId="77777777" w:rsidR="00A73FEA" w:rsidRDefault="00A73FEA">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5BCB6E" w14:textId="77777777" w:rsidR="00A73FEA" w:rsidRDefault="00A73FEA">
            <w:pPr>
              <w:spacing w:after="200" w:line="276" w:lineRule="auto"/>
              <w:ind w:left="360"/>
              <w:rPr>
                <w:lang w:eastAsia="en-GB"/>
              </w:rPr>
            </w:pPr>
          </w:p>
          <w:p w14:paraId="7297F554" w14:textId="77777777" w:rsidR="00A73FEA" w:rsidRDefault="00A73FEA">
            <w:pPr>
              <w:spacing w:after="200" w:line="276" w:lineRule="auto"/>
              <w:rPr>
                <w:lang w:eastAsia="en-GB"/>
              </w:rPr>
            </w:pPr>
          </w:p>
          <w:p w14:paraId="4AAB8476" w14:textId="77777777" w:rsidR="00A73FEA" w:rsidRDefault="00A73FEA">
            <w:pPr>
              <w:spacing w:after="200" w:line="276" w:lineRule="auto"/>
              <w:rPr>
                <w:lang w:eastAsia="en-GB"/>
              </w:rPr>
            </w:pPr>
          </w:p>
          <w:p w14:paraId="310580E7" w14:textId="77777777" w:rsidR="00A73FEA" w:rsidRDefault="00A73FEA">
            <w:pPr>
              <w:spacing w:after="200" w:line="276" w:lineRule="auto"/>
              <w:rPr>
                <w:lang w:eastAsia="en-GB"/>
              </w:rPr>
            </w:pPr>
          </w:p>
          <w:p w14:paraId="3B2EF62F" w14:textId="77777777" w:rsidR="00A73FEA" w:rsidRDefault="00A73FEA">
            <w:pPr>
              <w:spacing w:after="200" w:line="276" w:lineRule="auto"/>
              <w:rPr>
                <w:lang w:eastAsia="en-GB"/>
              </w:rPr>
            </w:pPr>
          </w:p>
          <w:p w14:paraId="13A741DE" w14:textId="77777777" w:rsidR="00A73FEA" w:rsidRDefault="00A73FEA">
            <w:pPr>
              <w:spacing w:after="200" w:line="276" w:lineRule="auto"/>
              <w:rPr>
                <w:lang w:eastAsia="en-GB"/>
              </w:rPr>
            </w:pPr>
          </w:p>
          <w:p w14:paraId="12969E7E" w14:textId="77777777" w:rsidR="00A73FEA" w:rsidRDefault="00A73FEA">
            <w:pPr>
              <w:spacing w:after="200" w:line="276" w:lineRule="auto"/>
              <w:rPr>
                <w:lang w:eastAsia="en-GB"/>
              </w:rPr>
            </w:pPr>
          </w:p>
          <w:p w14:paraId="374B0E22" w14:textId="77777777" w:rsidR="00A73FEA" w:rsidRDefault="00A73FEA">
            <w:pPr>
              <w:spacing w:after="200" w:line="276" w:lineRule="auto"/>
              <w:rPr>
                <w:lang w:eastAsia="en-GB"/>
              </w:rPr>
            </w:pPr>
          </w:p>
          <w:p w14:paraId="5569F755" w14:textId="77777777" w:rsidR="00A73FEA" w:rsidRDefault="00A73FEA">
            <w:pPr>
              <w:spacing w:after="200" w:line="276" w:lineRule="auto"/>
              <w:rPr>
                <w:lang w:eastAsia="en-GB"/>
              </w:rPr>
            </w:pPr>
          </w:p>
          <w:p w14:paraId="5D424E92" w14:textId="77777777" w:rsidR="00A73FEA" w:rsidRDefault="00A73FEA">
            <w:pPr>
              <w:spacing w:after="200" w:line="276" w:lineRule="auto"/>
              <w:rPr>
                <w:lang w:eastAsia="en-GB"/>
              </w:rPr>
            </w:pPr>
          </w:p>
          <w:p w14:paraId="53CD16F2" w14:textId="77777777" w:rsidR="00A73FEA" w:rsidRDefault="00A73FEA">
            <w:pPr>
              <w:spacing w:after="200" w:line="276" w:lineRule="auto"/>
              <w:rPr>
                <w:lang w:eastAsia="en-GB"/>
              </w:rPr>
            </w:pPr>
          </w:p>
          <w:p w14:paraId="7DF62EEE" w14:textId="77777777" w:rsidR="00A73FEA" w:rsidRDefault="00A73FEA">
            <w:pPr>
              <w:spacing w:after="200" w:line="276" w:lineRule="auto"/>
              <w:rPr>
                <w:lang w:eastAsia="en-GB"/>
              </w:rPr>
            </w:pPr>
          </w:p>
          <w:p w14:paraId="68736BAD" w14:textId="77777777" w:rsidR="00A73FEA" w:rsidRDefault="00A73FEA">
            <w:pPr>
              <w:spacing w:after="200" w:line="276" w:lineRule="auto"/>
              <w:rPr>
                <w:lang w:eastAsia="en-GB"/>
              </w:rPr>
            </w:pPr>
          </w:p>
          <w:p w14:paraId="2EF6B892" w14:textId="77777777" w:rsidR="00A73FEA" w:rsidRDefault="00A73FEA">
            <w:pPr>
              <w:spacing w:after="200" w:line="276" w:lineRule="auto"/>
              <w:rPr>
                <w:lang w:eastAsia="en-GB"/>
              </w:rPr>
            </w:pPr>
          </w:p>
          <w:p w14:paraId="4A138205" w14:textId="77777777" w:rsidR="00A73FEA" w:rsidRDefault="00A73FEA">
            <w:pPr>
              <w:spacing w:after="200" w:line="276" w:lineRule="auto"/>
              <w:rPr>
                <w:lang w:eastAsia="en-GB"/>
              </w:rPr>
            </w:pPr>
          </w:p>
          <w:p w14:paraId="696FD082" w14:textId="77777777" w:rsidR="00A73FEA" w:rsidRDefault="00A73FEA">
            <w:pPr>
              <w:spacing w:after="200" w:line="276" w:lineRule="auto"/>
              <w:rPr>
                <w:lang w:eastAsia="en-GB"/>
              </w:rPr>
            </w:pPr>
          </w:p>
          <w:p w14:paraId="019EEB24" w14:textId="77777777" w:rsidR="00A73FEA" w:rsidRDefault="00A73FEA">
            <w:pPr>
              <w:spacing w:after="200" w:line="276" w:lineRule="auto"/>
              <w:rPr>
                <w:lang w:eastAsia="en-GB"/>
              </w:rPr>
            </w:pPr>
          </w:p>
          <w:p w14:paraId="48AF645F" w14:textId="77777777" w:rsidR="00A73FEA" w:rsidRDefault="00A73FEA">
            <w:pPr>
              <w:spacing w:after="200" w:line="276" w:lineRule="auto"/>
              <w:rPr>
                <w:lang w:eastAsia="en-GB"/>
              </w:rPr>
            </w:pPr>
          </w:p>
          <w:p w14:paraId="0BAA755F" w14:textId="77777777" w:rsidR="00A73FEA" w:rsidRDefault="00A73FEA">
            <w:pPr>
              <w:spacing w:after="200" w:line="276" w:lineRule="auto"/>
              <w:rPr>
                <w:lang w:eastAsia="en-GB"/>
              </w:rPr>
            </w:pPr>
          </w:p>
          <w:p w14:paraId="256568D2" w14:textId="77777777" w:rsidR="00A73FEA" w:rsidRDefault="00A73FEA">
            <w:pPr>
              <w:spacing w:after="200" w:line="276" w:lineRule="auto"/>
              <w:rPr>
                <w:lang w:eastAsia="en-GB"/>
              </w:rPr>
            </w:pPr>
          </w:p>
          <w:p w14:paraId="3E7319AE" w14:textId="77777777" w:rsidR="00A73FEA" w:rsidRDefault="00A73FEA">
            <w:pPr>
              <w:spacing w:after="200" w:line="276" w:lineRule="auto"/>
              <w:rPr>
                <w:lang w:eastAsia="en-GB"/>
              </w:rPr>
            </w:pPr>
          </w:p>
          <w:p w14:paraId="60ACF66F" w14:textId="77777777" w:rsidR="00A73FEA" w:rsidRDefault="00A73FEA">
            <w:pPr>
              <w:spacing w:after="200" w:line="276" w:lineRule="auto"/>
              <w:rPr>
                <w:lang w:eastAsia="en-GB"/>
              </w:rPr>
            </w:pPr>
          </w:p>
          <w:p w14:paraId="6676F270" w14:textId="77777777" w:rsidR="00A73FEA" w:rsidRDefault="00A73FEA">
            <w:pPr>
              <w:spacing w:after="200" w:line="276" w:lineRule="auto"/>
              <w:rPr>
                <w:lang w:eastAsia="en-GB"/>
              </w:rPr>
            </w:pPr>
          </w:p>
          <w:p w14:paraId="7C3FA506" w14:textId="77777777" w:rsidR="00A73FEA" w:rsidRDefault="00A73FEA">
            <w:pPr>
              <w:spacing w:after="200" w:line="276" w:lineRule="auto"/>
              <w:rPr>
                <w:lang w:eastAsia="en-GB"/>
              </w:rPr>
            </w:pPr>
          </w:p>
          <w:p w14:paraId="30AADE6D" w14:textId="77777777" w:rsidR="00A73FEA" w:rsidRDefault="00A73FEA">
            <w:pPr>
              <w:spacing w:after="200" w:line="276" w:lineRule="auto"/>
              <w:rPr>
                <w:lang w:eastAsia="en-GB"/>
              </w:rPr>
            </w:pPr>
          </w:p>
        </w:tc>
      </w:tr>
      <w:tr w:rsidR="00A73FEA" w14:paraId="31090BCF" w14:textId="77777777" w:rsidTr="00A73FEA">
        <w:trPr>
          <w:trHeight w:hRule="exact" w:val="3100"/>
        </w:trPr>
        <w:tc>
          <w:tcPr>
            <w:tcW w:w="188" w:type="pct"/>
            <w:tcBorders>
              <w:top w:val="single" w:sz="4" w:space="0" w:color="auto"/>
              <w:left w:val="single" w:sz="4" w:space="0" w:color="auto"/>
              <w:bottom w:val="single" w:sz="4" w:space="0" w:color="auto"/>
              <w:right w:val="single" w:sz="4" w:space="0" w:color="auto"/>
            </w:tcBorders>
            <w:vAlign w:val="center"/>
          </w:tcPr>
          <w:p w14:paraId="46F6C469"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3D9DD78" w14:textId="77777777" w:rsidR="00A73FEA" w:rsidRDefault="00A73FEA">
            <w:pPr>
              <w:spacing w:after="200" w:line="276" w:lineRule="auto"/>
              <w:ind w:left="20"/>
              <w:rPr>
                <w:lang w:eastAsia="en-GB"/>
              </w:rPr>
            </w:pPr>
            <w:r>
              <w:rPr>
                <w:lang w:eastAsia="en-GB"/>
              </w:rPr>
              <w:t>How will these outcomes directly result in benefit for the public? Please give details. This should be the main section answered.</w:t>
            </w:r>
          </w:p>
          <w:p w14:paraId="5811F898" w14:textId="77777777" w:rsidR="00A73FEA" w:rsidRDefault="00A73FEA">
            <w:pPr>
              <w:spacing w:after="200" w:line="276" w:lineRule="auto"/>
              <w:ind w:left="20"/>
              <w:rPr>
                <w:lang w:eastAsia="en-GB"/>
              </w:rPr>
            </w:pPr>
          </w:p>
          <w:p w14:paraId="447ABB4E" w14:textId="77777777" w:rsidR="00A73FEA" w:rsidRDefault="00A73FEA">
            <w:pPr>
              <w:spacing w:after="200" w:line="276" w:lineRule="auto"/>
              <w:ind w:left="20"/>
              <w:rPr>
                <w:lang w:eastAsia="en-GB"/>
              </w:rPr>
            </w:pPr>
          </w:p>
          <w:p w14:paraId="3370823E" w14:textId="77777777" w:rsidR="00A73FEA" w:rsidRDefault="00A73FEA">
            <w:pPr>
              <w:spacing w:after="200" w:line="276" w:lineRule="auto"/>
              <w:ind w:left="20"/>
              <w:rPr>
                <w:lang w:eastAsia="en-GB"/>
              </w:rPr>
            </w:pPr>
          </w:p>
          <w:p w14:paraId="7E41555E" w14:textId="77777777" w:rsidR="00A73FEA" w:rsidRDefault="00A73FEA">
            <w:pPr>
              <w:spacing w:after="200" w:line="276" w:lineRule="auto"/>
              <w:ind w:left="20"/>
              <w:rPr>
                <w:lang w:eastAsia="en-GB"/>
              </w:rPr>
            </w:pPr>
          </w:p>
          <w:p w14:paraId="2B74F6FA" w14:textId="77777777" w:rsidR="00A73FEA" w:rsidRDefault="00A73FEA">
            <w:pPr>
              <w:spacing w:after="200" w:line="276" w:lineRule="auto"/>
              <w:ind w:left="20"/>
              <w:rPr>
                <w:lang w:eastAsia="en-GB"/>
              </w:rPr>
            </w:pPr>
          </w:p>
          <w:p w14:paraId="4133AA2A" w14:textId="77777777" w:rsidR="00A73FEA" w:rsidRDefault="00A73FEA">
            <w:pPr>
              <w:spacing w:after="200" w:line="276" w:lineRule="auto"/>
              <w:ind w:left="20"/>
              <w:rPr>
                <w:lang w:eastAsia="en-GB"/>
              </w:rPr>
            </w:pPr>
          </w:p>
          <w:p w14:paraId="7613E2D3"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3F1A31F" w14:textId="77777777" w:rsidR="00A73FEA" w:rsidRDefault="00A73FEA">
            <w:pPr>
              <w:spacing w:line="360" w:lineRule="auto"/>
              <w:rPr>
                <w:lang w:eastAsia="en-GB"/>
              </w:rPr>
            </w:pPr>
            <w:r>
              <w:rPr>
                <w:lang w:eastAsia="en-GB"/>
              </w:rPr>
              <w:t xml:space="preserve">This research gives free access to all who wish to understand more about the experiences of Gender Dysphoria in autistic adolescents assigned female at birth. </w:t>
            </w:r>
            <w:r>
              <w:rPr>
                <w:color w:val="222222"/>
                <w:shd w:val="clear" w:color="auto" w:fill="FFFFFF"/>
              </w:rPr>
              <w:t>It was hoped that this would promote parent and healthcare staff understanding; particularly around gender-affirming care to foster positive mental health outcomes.</w:t>
            </w:r>
          </w:p>
          <w:p w14:paraId="180BE0D0" w14:textId="77777777" w:rsidR="00A73FEA" w:rsidRDefault="00A73FEA">
            <w:pPr>
              <w:spacing w:line="360" w:lineRule="auto"/>
              <w:rPr>
                <w:lang w:eastAsia="en-GB"/>
              </w:rPr>
            </w:pPr>
          </w:p>
          <w:p w14:paraId="1ABC4B7B" w14:textId="77777777" w:rsidR="00A73FEA" w:rsidRDefault="00A73FEA">
            <w:pPr>
              <w:spacing w:line="360" w:lineRule="auto"/>
              <w:rPr>
                <w:lang w:eastAsia="en-GB"/>
              </w:rPr>
            </w:pPr>
          </w:p>
          <w:p w14:paraId="44A85ED6" w14:textId="77777777" w:rsidR="00A73FEA" w:rsidRDefault="00A73FEA">
            <w:pPr>
              <w:spacing w:line="360" w:lineRule="auto"/>
              <w:rPr>
                <w:lang w:eastAsia="en-GB"/>
              </w:rPr>
            </w:pPr>
          </w:p>
          <w:p w14:paraId="0A4B1794" w14:textId="77777777" w:rsidR="00A73FEA" w:rsidRDefault="00A73FEA">
            <w:pPr>
              <w:spacing w:line="360" w:lineRule="auto"/>
              <w:rPr>
                <w:lang w:eastAsia="en-GB"/>
              </w:rPr>
            </w:pPr>
          </w:p>
          <w:p w14:paraId="7DD44874" w14:textId="77777777" w:rsidR="00A73FEA" w:rsidRDefault="00A73FEA">
            <w:pPr>
              <w:spacing w:line="360" w:lineRule="auto"/>
              <w:rPr>
                <w:lang w:eastAsia="en-GB"/>
              </w:rPr>
            </w:pPr>
          </w:p>
          <w:p w14:paraId="53EC731D" w14:textId="77777777" w:rsidR="00A73FEA" w:rsidRDefault="00A73FEA">
            <w:pPr>
              <w:spacing w:line="360" w:lineRule="auto"/>
              <w:rPr>
                <w:lang w:eastAsia="en-GB"/>
              </w:rPr>
            </w:pPr>
          </w:p>
        </w:tc>
      </w:tr>
      <w:tr w:rsidR="00A73FEA" w14:paraId="7F8C7AD8"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16C9BC" w14:textId="77777777" w:rsidR="00A73FEA" w:rsidRDefault="00A73FEA">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45FA5A" w14:textId="77777777" w:rsidR="00A73FEA" w:rsidRDefault="00A73FEA">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A22C5C" w14:textId="77777777" w:rsidR="00A73FEA" w:rsidRDefault="00A73FEA">
            <w:pPr>
              <w:spacing w:after="200" w:line="276" w:lineRule="auto"/>
              <w:ind w:left="360"/>
              <w:rPr>
                <w:lang w:eastAsia="en-GB"/>
              </w:rPr>
            </w:pPr>
          </w:p>
        </w:tc>
      </w:tr>
      <w:tr w:rsidR="00A73FEA" w14:paraId="125CA247" w14:textId="77777777" w:rsidTr="00A73FEA">
        <w:trPr>
          <w:trHeight w:hRule="exact" w:val="5617"/>
        </w:trPr>
        <w:tc>
          <w:tcPr>
            <w:tcW w:w="188" w:type="pct"/>
            <w:tcBorders>
              <w:top w:val="single" w:sz="4" w:space="0" w:color="auto"/>
              <w:left w:val="single" w:sz="4" w:space="0" w:color="auto"/>
              <w:bottom w:val="single" w:sz="4" w:space="0" w:color="auto"/>
              <w:right w:val="single" w:sz="4" w:space="0" w:color="auto"/>
            </w:tcBorders>
            <w:vAlign w:val="center"/>
          </w:tcPr>
          <w:p w14:paraId="4B519DDD"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522089F" w14:textId="77777777" w:rsidR="00A73FEA" w:rsidRDefault="00A73FEA">
            <w:pPr>
              <w:spacing w:after="200" w:line="276" w:lineRule="auto"/>
              <w:ind w:left="20"/>
              <w:rPr>
                <w:lang w:eastAsia="en-GB"/>
              </w:rPr>
            </w:pPr>
            <w:r>
              <w:rPr>
                <w:lang w:eastAsia="en-GB"/>
              </w:rPr>
              <w:t xml:space="preserve">What data were received/processed/collected? </w:t>
            </w:r>
          </w:p>
          <w:p w14:paraId="55B16D5D" w14:textId="77777777" w:rsidR="00A73FEA" w:rsidRDefault="00A73FEA">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2BD6C11" w14:textId="77777777" w:rsidR="00A73FEA" w:rsidRDefault="00A73FEA">
            <w:pPr>
              <w:spacing w:line="360" w:lineRule="auto"/>
              <w:rPr>
                <w:lang w:eastAsia="en-GB"/>
              </w:rPr>
            </w:pPr>
            <w:r>
              <w:rPr>
                <w:lang w:eastAsia="en-GB"/>
              </w:rPr>
              <w:t>Name, preferred name, address, postcode, date of birth, age, ethnicity, employment status, gender identity, sexuality, age at autism diagnosis, length lived in current gender, age of onset of gender dysphoria, family prevalence of gender dysphoria, level of parent support, experience of gender and gender dysphoria, gender dysphoria with autism experience, group identity, self-concept and resilience/coping factors.</w:t>
            </w:r>
          </w:p>
          <w:p w14:paraId="07E79581" w14:textId="77777777" w:rsidR="00A73FEA" w:rsidRDefault="00A73FEA">
            <w:pPr>
              <w:spacing w:line="360" w:lineRule="auto"/>
              <w:rPr>
                <w:lang w:eastAsia="en-GB"/>
              </w:rPr>
            </w:pPr>
          </w:p>
          <w:p w14:paraId="5A5F3AB9" w14:textId="77777777" w:rsidR="00A73FEA" w:rsidRDefault="00A73FEA">
            <w:pPr>
              <w:spacing w:line="360" w:lineRule="auto"/>
              <w:rPr>
                <w:lang w:eastAsia="en-GB"/>
              </w:rPr>
            </w:pPr>
            <w:r>
              <w:rPr>
                <w:lang w:eastAsia="en-GB"/>
              </w:rPr>
              <w:t xml:space="preserve">Yes, data was collected as expected. </w:t>
            </w:r>
          </w:p>
        </w:tc>
      </w:tr>
      <w:tr w:rsidR="00A73FEA" w14:paraId="369FC0D8"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CA33D2" w14:textId="77777777" w:rsidR="00A73FEA" w:rsidRDefault="00A73FEA">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32B158" w14:textId="77777777" w:rsidR="00A73FEA" w:rsidRDefault="00A73FEA">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CA3D55" w14:textId="77777777" w:rsidR="00A73FEA" w:rsidRDefault="00A73FEA">
            <w:pPr>
              <w:spacing w:after="200" w:line="276" w:lineRule="auto"/>
              <w:ind w:left="360"/>
              <w:rPr>
                <w:lang w:eastAsia="en-GB"/>
              </w:rPr>
            </w:pPr>
          </w:p>
        </w:tc>
      </w:tr>
      <w:tr w:rsidR="00A73FEA" w14:paraId="754F7A73" w14:textId="77777777" w:rsidTr="00A73FEA">
        <w:trPr>
          <w:trHeight w:val="2523"/>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9B5E594"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23520B4" w14:textId="77777777" w:rsidR="00A73FEA" w:rsidRDefault="00A73FEA">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B346D3D" w14:textId="77777777" w:rsidR="00A73FEA" w:rsidRDefault="00A73FEA">
            <w:pPr>
              <w:spacing w:line="360" w:lineRule="auto"/>
              <w:rPr>
                <w:color w:val="222222"/>
                <w:shd w:val="clear" w:color="auto" w:fill="FFFFFF"/>
              </w:rPr>
            </w:pPr>
            <w:r>
              <w:rPr>
                <w:color w:val="222222"/>
                <w:shd w:val="clear" w:color="auto" w:fill="FFFFFF"/>
              </w:rPr>
              <w:t>“We recruited through both health services and the community. Posters of advertisement were sent to two NHS Scottish health board teams...Posters were also displayed on social media (namely Facebook, Twitter and Discord) and those interested could contact the researcher directly.” </w:t>
            </w:r>
            <w:r>
              <w:rPr>
                <w:color w:val="222222"/>
              </w:rPr>
              <w:t>(Oliver et al., 2025)</w:t>
            </w:r>
          </w:p>
        </w:tc>
      </w:tr>
      <w:tr w:rsidR="00A73FEA" w14:paraId="50097CDA" w14:textId="77777777" w:rsidTr="00A73FEA">
        <w:trPr>
          <w:trHeight w:hRule="exact" w:val="1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97DF3" w14:textId="77777777" w:rsidR="00A73FEA" w:rsidRDefault="00A73FEA">
            <w:pPr>
              <w:rPr>
                <w:rFonts w:ascii="Arial" w:eastAsia="Times New Roman" w:hAnsi="Arial" w:cs="Arial"/>
                <w:sz w:val="24"/>
                <w:szCs w:val="24"/>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E01839B" w14:textId="77777777" w:rsidR="00A73FEA" w:rsidRDefault="00A73FEA">
            <w:pPr>
              <w:spacing w:after="200" w:line="276" w:lineRule="auto"/>
              <w:ind w:left="20"/>
              <w:rPr>
                <w:lang w:eastAsia="en-GB"/>
              </w:rPr>
            </w:pPr>
            <w:r>
              <w:rPr>
                <w:lang w:eastAsia="en-GB"/>
              </w:rPr>
              <w:t xml:space="preserve">How did you process the data? </w:t>
            </w:r>
          </w:p>
          <w:p w14:paraId="5B22B137"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CF57800" w14:textId="77777777" w:rsidR="00A73FEA" w:rsidRDefault="00A73FEA">
            <w:pPr>
              <w:spacing w:after="200" w:line="276" w:lineRule="auto"/>
              <w:ind w:left="20"/>
              <w:rPr>
                <w:lang w:eastAsia="en-GB"/>
              </w:rPr>
            </w:pPr>
            <w:r>
              <w:rPr>
                <w:lang w:eastAsia="en-GB"/>
              </w:rPr>
              <w:t xml:space="preserve">Data was kept within the NHS Shared drive with restricted access given to the clinical lead and applicant. Recordings were deleted as soon as transcripts were completed. </w:t>
            </w:r>
          </w:p>
        </w:tc>
      </w:tr>
      <w:tr w:rsidR="00A73FEA" w14:paraId="6F8EA84B" w14:textId="77777777" w:rsidTr="00A73FEA">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7A3C5" w14:textId="77777777" w:rsidR="00A73FEA" w:rsidRDefault="00A73FEA">
            <w:pPr>
              <w:rPr>
                <w:rFonts w:ascii="Arial" w:eastAsia="Times New Roman" w:hAnsi="Arial" w:cs="Arial"/>
                <w:sz w:val="24"/>
                <w:szCs w:val="24"/>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B22779D" w14:textId="77777777" w:rsidR="00A73FEA" w:rsidRDefault="00A73FEA">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tcPr>
          <w:p w14:paraId="14537A9C" w14:textId="77777777" w:rsidR="00A73FEA" w:rsidRDefault="00A73FEA">
            <w:pPr>
              <w:spacing w:line="360" w:lineRule="auto"/>
              <w:rPr>
                <w:lang w:eastAsia="en-GB"/>
              </w:rPr>
            </w:pPr>
            <w:r>
              <w:rPr>
                <w:lang w:eastAsia="en-GB"/>
              </w:rPr>
              <w:t>The research was published in the Journal of Autism and Developmental Disorders</w:t>
            </w:r>
          </w:p>
          <w:p w14:paraId="61936B77" w14:textId="77777777" w:rsidR="00A73FEA" w:rsidRDefault="00A73FEA">
            <w:pPr>
              <w:spacing w:line="360" w:lineRule="auto"/>
              <w:rPr>
                <w:lang w:eastAsia="en-GB"/>
              </w:rPr>
            </w:pPr>
          </w:p>
        </w:tc>
      </w:tr>
      <w:tr w:rsidR="00A73FEA" w14:paraId="72B62CEC" w14:textId="77777777" w:rsidTr="00A73FEA">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B2CF2" w14:textId="77777777" w:rsidR="00A73FEA" w:rsidRDefault="00A73FEA">
            <w:pPr>
              <w:rPr>
                <w:rFonts w:ascii="Arial" w:eastAsia="Times New Roman" w:hAnsi="Arial" w:cs="Arial"/>
                <w:sz w:val="24"/>
                <w:szCs w:val="24"/>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95828BD" w14:textId="77777777" w:rsidR="00A73FEA" w:rsidRDefault="00A73FEA">
            <w:pPr>
              <w:spacing w:after="200" w:line="276" w:lineRule="auto"/>
              <w:ind w:left="20"/>
              <w:rPr>
                <w:lang w:eastAsia="en-GB"/>
              </w:rPr>
            </w:pPr>
            <w:r>
              <w:rPr>
                <w:lang w:eastAsia="en-GB"/>
              </w:rPr>
              <w:t>Did your study scope change from its original aims? Please give brief details.</w:t>
            </w:r>
          </w:p>
          <w:p w14:paraId="561FB8EB"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A05FC8B" w14:textId="77777777" w:rsidR="00A73FEA" w:rsidRDefault="00A73FEA">
            <w:pPr>
              <w:spacing w:line="360" w:lineRule="auto"/>
              <w:rPr>
                <w:lang w:eastAsia="en-GB"/>
              </w:rPr>
            </w:pPr>
            <w:r>
              <w:rPr>
                <w:lang w:eastAsia="en-GB"/>
              </w:rPr>
              <w:t>The only change was that there were no participants from the community who opted to take part.</w:t>
            </w:r>
          </w:p>
        </w:tc>
      </w:tr>
      <w:tr w:rsidR="00A73FEA" w14:paraId="6A225BBF"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E63E10" w14:textId="77777777" w:rsidR="00A73FEA" w:rsidRDefault="00A73FEA">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E7CE0C" w14:textId="77777777" w:rsidR="00A73FEA" w:rsidRDefault="00A73FEA">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D85ADB" w14:textId="77777777" w:rsidR="00A73FEA" w:rsidRDefault="00A73FEA">
            <w:pPr>
              <w:spacing w:after="200" w:line="276" w:lineRule="auto"/>
              <w:ind w:left="360"/>
              <w:rPr>
                <w:lang w:eastAsia="en-GB"/>
              </w:rPr>
            </w:pPr>
          </w:p>
        </w:tc>
      </w:tr>
      <w:tr w:rsidR="00A73FEA" w14:paraId="2F4683CF" w14:textId="77777777" w:rsidTr="00A73FEA">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326A692"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CD1165E" w14:textId="77777777" w:rsidR="00A73FEA" w:rsidRDefault="00A73FEA">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3C53DA22" w14:textId="77777777" w:rsidR="00A73FEA" w:rsidRDefault="00A73FEA">
            <w:pPr>
              <w:pStyle w:val="NormalWeb"/>
              <w:shd w:val="clear" w:color="auto" w:fill="FFFFFF"/>
              <w:spacing w:before="0" w:beforeAutospacing="0" w:after="320" w:afterAutospacing="0"/>
              <w:rPr>
                <w:rFonts w:ascii="Arial" w:hAnsi="Arial" w:cs="Arial"/>
                <w:color w:val="222222"/>
                <w:lang w:eastAsia="en-US"/>
              </w:rPr>
            </w:pPr>
            <w:r>
              <w:rPr>
                <w:rFonts w:ascii="Arial" w:hAnsi="Arial" w:cs="Arial"/>
                <w:color w:val="222222"/>
                <w:lang w:eastAsia="en-US"/>
              </w:rPr>
              <w:t xml:space="preserve"> “In conclusion, this study explores the unique phenomenological experiences of assigned female at birth autistic adolescents who are experiencing GD. In summary, this includes dealing with socially gendered expectations and </w:t>
            </w:r>
            <w:r>
              <w:rPr>
                <w:rFonts w:ascii="Arial" w:hAnsi="Arial" w:cs="Arial"/>
                <w:color w:val="222222"/>
                <w:lang w:eastAsia="en-US"/>
              </w:rPr>
              <w:lastRenderedPageBreak/>
              <w:t>internal conflicts, whilst trying to manage menstruation and sensory sensitivities (e.g. which may make binding more challenging), struggling to express this distress, asking for help and showing resilience by trying to cope, but having to wait a considerable time for support. This is on top of experiencing transphobia, mis-gendering, bullying and other life difficulties, such as bereavements.</w:t>
            </w:r>
          </w:p>
          <w:p w14:paraId="77E416DA" w14:textId="77777777" w:rsidR="00A73FEA" w:rsidRDefault="00A73FEA">
            <w:pPr>
              <w:pStyle w:val="NormalWeb"/>
              <w:shd w:val="clear" w:color="auto" w:fill="FFFFFF"/>
              <w:spacing w:before="0" w:beforeAutospacing="0" w:after="320" w:afterAutospacing="0"/>
              <w:rPr>
                <w:rFonts w:ascii="Arial" w:hAnsi="Arial" w:cs="Arial"/>
                <w:color w:val="222222"/>
                <w:lang w:eastAsia="en-US"/>
              </w:rPr>
            </w:pPr>
            <w:r>
              <w:rPr>
                <w:rFonts w:ascii="Arial" w:hAnsi="Arial" w:cs="Arial"/>
                <w:color w:val="222222"/>
                <w:lang w:eastAsia="en-US"/>
              </w:rPr>
              <w:t>This paper highlights this as a much-needed conversation and contributes to the growing knowledge about how healthcare staff can support the mental health outcomes of assigned female at birth autistic adolescents. This includes the importance of reducing waiting times, considering the meaning of repetition and utilising key therapeutic and gender-affirming strategies such as acceptance, empathetically listening and co-constructing an individual’s story and goals. In addition, it contributes to recent theory developed to explain experiences within this population (e.g. Coleman-Smith et al., </w:t>
            </w:r>
            <w:hyperlink r:id="rId11" w:anchor="ref-CR10" w:tooltip="&#10;                        Coleman-Smith, R. S., Smith, R., Milne, E., &amp; Thompson, A. R. (2020). ‘Conflict versus congruence’: A qualitative study exploring the experience of gender dysphoria for adults with autism spectrum disorder. Journal of Autism and D" w:history="1">
              <w:r>
                <w:rPr>
                  <w:rStyle w:val="Hyperlink"/>
                  <w:rFonts w:ascii="Arial" w:hAnsi="Arial" w:cs="Arial"/>
                  <w:color w:val="025E8D"/>
                  <w:lang w:eastAsia="en-US"/>
                </w:rPr>
                <w:t>2020</w:t>
              </w:r>
            </w:hyperlink>
            <w:r>
              <w:rPr>
                <w:rFonts w:ascii="Arial" w:hAnsi="Arial" w:cs="Arial"/>
                <w:color w:val="222222"/>
                <w:lang w:eastAsia="en-US"/>
              </w:rPr>
              <w:t>). This paper also shines a light on areas of social and individual identity forming in assigned female at birth autistic adolescents, as well as levels of resilience, validation and acceptance; which can positively impact upon mental health outcomes. Proceeding studies should take stock of the current literature to highlight future areas to explore.” (Oliver et al., 2025)</w:t>
            </w:r>
          </w:p>
          <w:p w14:paraId="044D947F" w14:textId="77777777" w:rsidR="00A73FEA" w:rsidRDefault="00A73FEA">
            <w:pPr>
              <w:spacing w:line="360" w:lineRule="auto"/>
              <w:rPr>
                <w:rFonts w:ascii="Arial" w:hAnsi="Arial" w:cs="Arial"/>
                <w:lang w:eastAsia="en-GB"/>
              </w:rPr>
            </w:pPr>
          </w:p>
        </w:tc>
      </w:tr>
      <w:tr w:rsidR="00A73FEA" w14:paraId="0389C58B"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3B7477" w14:textId="77777777" w:rsidR="00A73FEA" w:rsidRDefault="00A73FEA">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EFD205" w14:textId="77777777" w:rsidR="00A73FEA" w:rsidRDefault="00A73FEA">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58ED06" w14:textId="77777777" w:rsidR="00A73FEA" w:rsidRDefault="00A73FEA">
            <w:pPr>
              <w:spacing w:after="200" w:line="276" w:lineRule="auto"/>
              <w:ind w:left="360"/>
              <w:rPr>
                <w:lang w:eastAsia="en-GB"/>
              </w:rPr>
            </w:pPr>
          </w:p>
        </w:tc>
      </w:tr>
      <w:tr w:rsidR="00A73FEA" w14:paraId="1DE396F6" w14:textId="77777777" w:rsidTr="00A73FEA">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576C081D"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680173A" w14:textId="77777777" w:rsidR="00A73FEA" w:rsidRDefault="00A73FEA">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5B07EBFA" w14:textId="77777777" w:rsidR="00A73FEA" w:rsidRDefault="00A73FEA">
            <w:pPr>
              <w:pStyle w:val="NormalWeb"/>
              <w:shd w:val="clear" w:color="auto" w:fill="FFFFFF"/>
              <w:spacing w:before="0" w:beforeAutospacing="0" w:after="320" w:afterAutospacing="0"/>
              <w:rPr>
                <w:rFonts w:ascii="Arial" w:hAnsi="Arial" w:cs="Arial"/>
                <w:color w:val="222222"/>
                <w:lang w:eastAsia="en-US"/>
              </w:rPr>
            </w:pPr>
            <w:r>
              <w:rPr>
                <w:rFonts w:ascii="Arial" w:hAnsi="Arial" w:cs="Arial"/>
                <w:color w:val="222222"/>
                <w:lang w:eastAsia="en-US"/>
              </w:rPr>
              <w:t>“Future studies should also give a voice to those assigned female at birth autistic adolescents who identify as non-binary, as well as quantifying the impact of waiting times upon psychological wellbeing - and given current demands on services - striving to find out what waiting “</w:t>
            </w:r>
            <w:r>
              <w:rPr>
                <w:rFonts w:ascii="Arial" w:hAnsi="Arial" w:cs="Arial"/>
                <w:i/>
                <w:iCs/>
                <w:color w:val="222222"/>
                <w:lang w:eastAsia="en-US"/>
              </w:rPr>
              <w:t>well</w:t>
            </w:r>
            <w:r>
              <w:rPr>
                <w:rFonts w:ascii="Arial" w:hAnsi="Arial" w:cs="Arial"/>
                <w:color w:val="222222"/>
                <w:lang w:eastAsia="en-US"/>
              </w:rPr>
              <w:t>” could look like.” (Oliver et al., 2025)</w:t>
            </w:r>
          </w:p>
          <w:p w14:paraId="59F4C2D7" w14:textId="77777777" w:rsidR="00A73FEA" w:rsidRDefault="00A73FEA">
            <w:pPr>
              <w:spacing w:line="360" w:lineRule="auto"/>
              <w:rPr>
                <w:rFonts w:ascii="Arial" w:hAnsi="Arial" w:cs="Arial"/>
                <w:lang w:eastAsia="en-GB"/>
              </w:rPr>
            </w:pPr>
          </w:p>
        </w:tc>
      </w:tr>
    </w:tbl>
    <w:p w14:paraId="3F232193" w14:textId="77777777" w:rsidR="00A73FEA" w:rsidRDefault="00A73FEA" w:rsidP="00A73FEA">
      <w:pPr>
        <w:spacing w:line="240" w:lineRule="auto"/>
        <w:ind w:left="-851"/>
        <w:rPr>
          <w:rFonts w:ascii="Arial" w:eastAsia="Times New Roman" w:hAnsi="Arial" w:cs="Arial"/>
          <w:lang w:eastAsia="en-GB"/>
        </w:rPr>
      </w:pPr>
    </w:p>
    <w:p w14:paraId="3AD24C17" w14:textId="77777777" w:rsidR="00A73FEA" w:rsidRDefault="00A73FEA" w:rsidP="00A73FEA">
      <w:pPr>
        <w:rPr>
          <w:b/>
          <w:bCs/>
          <w:sz w:val="24"/>
          <w:szCs w:val="24"/>
          <w:lang w:eastAsia="en-GB"/>
        </w:rPr>
      </w:pPr>
    </w:p>
    <w:p w14:paraId="01BDC99D" w14:textId="5D691362" w:rsidR="00A73FEA" w:rsidRDefault="00A73FEA" w:rsidP="00A73FEA">
      <w:pPr>
        <w:pStyle w:val="Heading2"/>
        <w:rPr>
          <w:lang w:eastAsia="en-GB"/>
        </w:rPr>
      </w:pPr>
      <w:bookmarkStart w:id="18" w:name="_2122-0197_Lucy_Cureton"/>
      <w:bookmarkEnd w:id="18"/>
      <w:r w:rsidRPr="00A73FEA">
        <w:rPr>
          <w:lang w:eastAsia="en-GB"/>
        </w:rPr>
        <w:lastRenderedPageBreak/>
        <w:t>2122-0197</w:t>
      </w:r>
      <w:r w:rsidRPr="00A73FEA">
        <w:rPr>
          <w:lang w:eastAsia="en-GB"/>
        </w:rPr>
        <w:tab/>
        <w:t>Lucy Cureton</w:t>
      </w:r>
    </w:p>
    <w:p w14:paraId="7A9A41EA" w14:textId="77777777" w:rsidR="00A73FEA" w:rsidRDefault="00A73FEA" w:rsidP="00A73FEA">
      <w:pPr>
        <w:rPr>
          <w:lang w:eastAsia="en-GB"/>
        </w:rPr>
      </w:pPr>
    </w:p>
    <w:p w14:paraId="40313620" w14:textId="73418DDA" w:rsidR="00A73FEA" w:rsidRDefault="00A73FEA" w:rsidP="00A73FEA">
      <w:pPr>
        <w:rPr>
          <w:lang w:eastAsia="en-GB"/>
        </w:rPr>
      </w:pPr>
      <w:r w:rsidRPr="00A73FEA">
        <w:rPr>
          <w:lang w:eastAsia="en-GB"/>
        </w:rPr>
        <w:t>PANORAMIC</w:t>
      </w:r>
    </w:p>
    <w:p w14:paraId="2291DD00" w14:textId="77777777" w:rsidR="00A73FEA" w:rsidRDefault="00A73FEA" w:rsidP="00A73FEA">
      <w:pPr>
        <w:spacing w:line="240" w:lineRule="auto"/>
        <w:jc w:val="center"/>
        <w:rPr>
          <w:b/>
          <w:sz w:val="32"/>
        </w:rPr>
      </w:pPr>
      <w:r>
        <w:rPr>
          <w:b/>
          <w:sz w:val="32"/>
        </w:rPr>
        <w:t>The Public Benefit Impact Summary</w:t>
      </w:r>
    </w:p>
    <w:p w14:paraId="50D81F18" w14:textId="77777777" w:rsidR="00A73FEA" w:rsidRDefault="00A73FEA" w:rsidP="00A73FEA">
      <w:pPr>
        <w:spacing w:line="240" w:lineRule="auto"/>
        <w:rPr>
          <w:b/>
        </w:rPr>
      </w:pPr>
    </w:p>
    <w:tbl>
      <w:tblPr>
        <w:tblStyle w:val="TableGrid"/>
        <w:tblW w:w="5343" w:type="pct"/>
        <w:tblLook w:val="04A0" w:firstRow="1" w:lastRow="0" w:firstColumn="1" w:lastColumn="0" w:noHBand="0" w:noVBand="1"/>
      </w:tblPr>
      <w:tblGrid>
        <w:gridCol w:w="340"/>
        <w:gridCol w:w="3358"/>
        <w:gridCol w:w="5936"/>
      </w:tblGrid>
      <w:tr w:rsidR="00A73FEA" w14:paraId="39C330C7"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2DAA3F" w14:textId="77777777" w:rsidR="00A73FEA" w:rsidRDefault="00A73FEA">
            <w:pPr>
              <w:spacing w:after="200"/>
              <w:rPr>
                <w:rFonts w:ascii="Arial" w:eastAsia="Times New Roman" w:hAnsi="Arial" w:cs="Arial"/>
                <w:lang w:eastAsia="en-GB"/>
              </w:rPr>
            </w:pPr>
            <w:r>
              <w:rPr>
                <w:lang w:eastAsia="en-GB"/>
              </w:rPr>
              <w:t>1</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E8F427" w14:textId="77777777" w:rsidR="00A73FEA" w:rsidRDefault="00A73FEA">
            <w:pPr>
              <w:spacing w:after="200"/>
              <w:ind w:left="20"/>
              <w:rPr>
                <w:b/>
                <w:lang w:eastAsia="en-GB"/>
              </w:rPr>
            </w:pPr>
            <w:r>
              <w:rPr>
                <w:b/>
                <w:lang w:eastAsia="en-GB"/>
              </w:rPr>
              <w:t>Aims</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EB37A9" w14:textId="77777777" w:rsidR="00A73FEA" w:rsidRDefault="00A73FEA">
            <w:pPr>
              <w:spacing w:after="200"/>
              <w:ind w:left="360"/>
              <w:rPr>
                <w:lang w:eastAsia="en-GB"/>
              </w:rPr>
            </w:pPr>
          </w:p>
        </w:tc>
      </w:tr>
      <w:tr w:rsidR="00A73FEA" w14:paraId="50F9264F" w14:textId="77777777" w:rsidTr="00A73FEA">
        <w:trPr>
          <w:trHeight w:hRule="exact" w:val="5900"/>
        </w:trPr>
        <w:tc>
          <w:tcPr>
            <w:tcW w:w="176" w:type="pct"/>
            <w:tcBorders>
              <w:top w:val="single" w:sz="4" w:space="0" w:color="auto"/>
              <w:left w:val="single" w:sz="4" w:space="0" w:color="auto"/>
              <w:bottom w:val="single" w:sz="4" w:space="0" w:color="auto"/>
              <w:right w:val="single" w:sz="4" w:space="0" w:color="auto"/>
            </w:tcBorders>
            <w:vAlign w:val="center"/>
          </w:tcPr>
          <w:p w14:paraId="103308CE"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10E57765" w14:textId="77777777" w:rsidR="00A73FEA" w:rsidRDefault="00A73FEA">
            <w:pPr>
              <w:spacing w:after="200"/>
              <w:ind w:left="20"/>
              <w:rPr>
                <w:lang w:eastAsia="en-GB"/>
              </w:rPr>
            </w:pPr>
            <w:r>
              <w:rPr>
                <w:lang w:eastAsia="en-GB"/>
              </w:rPr>
              <w:t>What did the study set out to achieve?</w:t>
            </w:r>
          </w:p>
        </w:tc>
        <w:tc>
          <w:tcPr>
            <w:tcW w:w="3081" w:type="pct"/>
            <w:tcBorders>
              <w:top w:val="single" w:sz="4" w:space="0" w:color="auto"/>
              <w:left w:val="single" w:sz="4" w:space="0" w:color="auto"/>
              <w:bottom w:val="single" w:sz="4" w:space="0" w:color="auto"/>
              <w:right w:val="single" w:sz="4" w:space="0" w:color="auto"/>
            </w:tcBorders>
            <w:hideMark/>
          </w:tcPr>
          <w:p w14:paraId="4E2205C7" w14:textId="77777777" w:rsidR="00A73FEA" w:rsidRDefault="00A73FEA">
            <w:pPr>
              <w:rPr>
                <w:lang w:eastAsia="en-GB"/>
              </w:rPr>
            </w:pPr>
            <w:r>
              <w:rPr>
                <w:lang w:eastAsia="en-GB"/>
              </w:rPr>
              <w:t>Primary objective:</w:t>
            </w:r>
          </w:p>
          <w:p w14:paraId="0A4483F4" w14:textId="77777777" w:rsidR="00A73FEA" w:rsidRDefault="00A73FEA">
            <w:pPr>
              <w:rPr>
                <w:lang w:eastAsia="en-GB"/>
              </w:rPr>
            </w:pPr>
            <w:r>
              <w:rPr>
                <w:lang w:eastAsia="en-GB"/>
              </w:rPr>
              <w:t>To determine whether antiviral treatment in the community safely reduces non-elective hospitalisations/deaths in high risk symptomatic patients with confirmed COVID-19.</w:t>
            </w:r>
          </w:p>
          <w:p w14:paraId="0186E742" w14:textId="77777777" w:rsidR="00A73FEA" w:rsidRDefault="00A73FEA">
            <w:pPr>
              <w:rPr>
                <w:lang w:eastAsia="en-GB"/>
              </w:rPr>
            </w:pPr>
            <w:r>
              <w:rPr>
                <w:lang w:eastAsia="en-GB"/>
              </w:rPr>
              <w:t>Secondary objectives:</w:t>
            </w:r>
          </w:p>
          <w:p w14:paraId="2F628A9F" w14:textId="77777777" w:rsidR="00A73FEA" w:rsidRDefault="00A73FEA">
            <w:pPr>
              <w:rPr>
                <w:lang w:eastAsia="en-GB"/>
              </w:rPr>
            </w:pPr>
            <w:r>
              <w:rPr>
                <w:lang w:eastAsia="en-GB"/>
              </w:rPr>
              <w:t xml:space="preserve">To explore whether antiviral treatment affects: </w:t>
            </w:r>
          </w:p>
          <w:p w14:paraId="726CBFB7" w14:textId="77777777" w:rsidR="00A73FEA" w:rsidRDefault="00A73FEA">
            <w:pPr>
              <w:rPr>
                <w:lang w:eastAsia="en-GB"/>
              </w:rPr>
            </w:pPr>
            <w:r>
              <w:rPr>
                <w:lang w:eastAsia="en-GB"/>
              </w:rPr>
              <w:t xml:space="preserve">1) Time to recovery (defined as the first instance that a participant report of feeling recovered from the illness) </w:t>
            </w:r>
          </w:p>
          <w:p w14:paraId="5103BF89" w14:textId="77777777" w:rsidR="00A73FEA" w:rsidRDefault="00A73FEA">
            <w:pPr>
              <w:rPr>
                <w:lang w:eastAsia="en-GB"/>
              </w:rPr>
            </w:pPr>
            <w:r>
              <w:rPr>
                <w:lang w:eastAsia="en-GB"/>
              </w:rPr>
              <w:t xml:space="preserve">2) Participant reported illness severity, reported by daily rating of how well participant feels, enabling identification of sustained recovery. </w:t>
            </w:r>
          </w:p>
          <w:p w14:paraId="17D7CA28" w14:textId="77777777" w:rsidR="00A73FEA" w:rsidRDefault="00A73FEA">
            <w:pPr>
              <w:rPr>
                <w:lang w:eastAsia="en-GB"/>
              </w:rPr>
            </w:pPr>
            <w:r>
              <w:rPr>
                <w:lang w:eastAsia="en-GB"/>
              </w:rPr>
              <w:t xml:space="preserve">3) Duration of severe symptoms and symptom recurrence </w:t>
            </w:r>
          </w:p>
          <w:p w14:paraId="4C731CC6" w14:textId="77777777" w:rsidR="00A73FEA" w:rsidRDefault="00A73FEA">
            <w:pPr>
              <w:rPr>
                <w:lang w:eastAsia="en-GB"/>
              </w:rPr>
            </w:pPr>
            <w:r>
              <w:rPr>
                <w:lang w:eastAsia="en-GB"/>
              </w:rPr>
              <w:t xml:space="preserve">4) Contacts with the health services </w:t>
            </w:r>
          </w:p>
          <w:p w14:paraId="7723B344" w14:textId="77777777" w:rsidR="00A73FEA" w:rsidRDefault="00A73FEA">
            <w:pPr>
              <w:rPr>
                <w:lang w:eastAsia="en-GB"/>
              </w:rPr>
            </w:pPr>
            <w:r>
              <w:rPr>
                <w:lang w:eastAsia="en-GB"/>
              </w:rPr>
              <w:t xml:space="preserve">5) New infections in household </w:t>
            </w:r>
          </w:p>
          <w:p w14:paraId="2FA121A7" w14:textId="77777777" w:rsidR="00A73FEA" w:rsidRDefault="00A73FEA">
            <w:pPr>
              <w:rPr>
                <w:lang w:eastAsia="en-GB"/>
              </w:rPr>
            </w:pPr>
            <w:r>
              <w:rPr>
                <w:lang w:eastAsia="en-GB"/>
              </w:rPr>
              <w:t xml:space="preserve">6) To investigate the safety of antiviral agents </w:t>
            </w:r>
          </w:p>
          <w:p w14:paraId="5394D783" w14:textId="77777777" w:rsidR="00A73FEA" w:rsidRDefault="00A73FEA">
            <w:pPr>
              <w:rPr>
                <w:lang w:eastAsia="en-GB"/>
              </w:rPr>
            </w:pPr>
            <w:r>
              <w:rPr>
                <w:lang w:eastAsia="en-GB"/>
              </w:rPr>
              <w:t xml:space="preserve">7) Longer term effects </w:t>
            </w:r>
          </w:p>
          <w:p w14:paraId="101CA03F" w14:textId="77777777" w:rsidR="00A73FEA" w:rsidRDefault="00A73FEA">
            <w:pPr>
              <w:rPr>
                <w:lang w:eastAsia="en-GB"/>
              </w:rPr>
            </w:pPr>
            <w:r>
              <w:rPr>
                <w:lang w:eastAsia="en-GB"/>
              </w:rPr>
              <w:t>8) Cost effectiveness</w:t>
            </w:r>
          </w:p>
          <w:p w14:paraId="353C5AB1" w14:textId="77777777" w:rsidR="00A73FEA" w:rsidRDefault="00A73FEA">
            <w:pPr>
              <w:rPr>
                <w:lang w:eastAsia="en-GB"/>
              </w:rPr>
            </w:pPr>
            <w:r>
              <w:rPr>
                <w:lang w:eastAsia="en-GB"/>
              </w:rPr>
              <w:t>Sub-study primary aim:</w:t>
            </w:r>
          </w:p>
          <w:p w14:paraId="67700EEA" w14:textId="77777777" w:rsidR="00A73FEA" w:rsidRDefault="00A73FEA">
            <w:pPr>
              <w:rPr>
                <w:lang w:eastAsia="en-GB"/>
              </w:rPr>
            </w:pPr>
            <w:r>
              <w:rPr>
                <w:lang w:eastAsia="en-GB"/>
              </w:rPr>
              <w:t>To determine whether antiviral treatment in the community reduces viral load to undetectable levels more quickly than untreated patients and to explore antiviral treatment on potential development of antiviral resistance.</w:t>
            </w:r>
          </w:p>
        </w:tc>
      </w:tr>
      <w:tr w:rsidR="00A73FEA" w14:paraId="5188F1F7"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3F95D8" w14:textId="77777777" w:rsidR="00A73FEA" w:rsidRDefault="00A73FEA">
            <w:pPr>
              <w:spacing w:after="200"/>
              <w:rPr>
                <w:lang w:eastAsia="en-GB"/>
              </w:rPr>
            </w:pPr>
            <w:r>
              <w:rPr>
                <w:lang w:eastAsia="en-GB"/>
              </w:rPr>
              <w:t>2</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643D95" w14:textId="77777777" w:rsidR="00A73FEA" w:rsidRDefault="00A73FEA">
            <w:pPr>
              <w:spacing w:after="200"/>
              <w:ind w:left="20"/>
              <w:rPr>
                <w:b/>
                <w:lang w:eastAsia="en-GB"/>
              </w:rPr>
            </w:pPr>
            <w:r>
              <w:rPr>
                <w:b/>
                <w:lang w:eastAsia="en-GB"/>
              </w:rPr>
              <w:t>Public Benefit Impact</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9B6D39" w14:textId="77777777" w:rsidR="00A73FEA" w:rsidRDefault="00A73FEA">
            <w:pPr>
              <w:spacing w:after="200"/>
              <w:ind w:left="360"/>
              <w:rPr>
                <w:lang w:eastAsia="en-GB"/>
              </w:rPr>
            </w:pPr>
          </w:p>
          <w:p w14:paraId="3CB9FEE5" w14:textId="77777777" w:rsidR="00A73FEA" w:rsidRDefault="00A73FEA">
            <w:pPr>
              <w:spacing w:after="200"/>
              <w:rPr>
                <w:lang w:eastAsia="en-GB"/>
              </w:rPr>
            </w:pPr>
          </w:p>
          <w:p w14:paraId="46747334" w14:textId="77777777" w:rsidR="00A73FEA" w:rsidRDefault="00A73FEA">
            <w:pPr>
              <w:spacing w:after="200"/>
              <w:rPr>
                <w:lang w:eastAsia="en-GB"/>
              </w:rPr>
            </w:pPr>
          </w:p>
          <w:p w14:paraId="7C746DD3" w14:textId="77777777" w:rsidR="00A73FEA" w:rsidRDefault="00A73FEA">
            <w:pPr>
              <w:spacing w:after="200"/>
              <w:rPr>
                <w:lang w:eastAsia="en-GB"/>
              </w:rPr>
            </w:pPr>
          </w:p>
          <w:p w14:paraId="19A632FD" w14:textId="77777777" w:rsidR="00A73FEA" w:rsidRDefault="00A73FEA">
            <w:pPr>
              <w:spacing w:after="200"/>
              <w:rPr>
                <w:lang w:eastAsia="en-GB"/>
              </w:rPr>
            </w:pPr>
          </w:p>
          <w:p w14:paraId="17FEC6CA" w14:textId="77777777" w:rsidR="00A73FEA" w:rsidRDefault="00A73FEA">
            <w:pPr>
              <w:spacing w:after="200"/>
              <w:rPr>
                <w:lang w:eastAsia="en-GB"/>
              </w:rPr>
            </w:pPr>
          </w:p>
          <w:p w14:paraId="241CF3AC" w14:textId="77777777" w:rsidR="00A73FEA" w:rsidRDefault="00A73FEA">
            <w:pPr>
              <w:spacing w:after="200"/>
              <w:rPr>
                <w:lang w:eastAsia="en-GB"/>
              </w:rPr>
            </w:pPr>
          </w:p>
          <w:p w14:paraId="05BCE17C" w14:textId="77777777" w:rsidR="00A73FEA" w:rsidRDefault="00A73FEA">
            <w:pPr>
              <w:spacing w:after="200"/>
              <w:rPr>
                <w:lang w:eastAsia="en-GB"/>
              </w:rPr>
            </w:pPr>
          </w:p>
          <w:p w14:paraId="3A22F6EA" w14:textId="77777777" w:rsidR="00A73FEA" w:rsidRDefault="00A73FEA">
            <w:pPr>
              <w:spacing w:after="200"/>
              <w:rPr>
                <w:lang w:eastAsia="en-GB"/>
              </w:rPr>
            </w:pPr>
          </w:p>
          <w:p w14:paraId="6A673091" w14:textId="77777777" w:rsidR="00A73FEA" w:rsidRDefault="00A73FEA">
            <w:pPr>
              <w:spacing w:after="200"/>
              <w:rPr>
                <w:lang w:eastAsia="en-GB"/>
              </w:rPr>
            </w:pPr>
          </w:p>
          <w:p w14:paraId="13BF2869" w14:textId="77777777" w:rsidR="00A73FEA" w:rsidRDefault="00A73FEA">
            <w:pPr>
              <w:spacing w:after="200"/>
              <w:rPr>
                <w:lang w:eastAsia="en-GB"/>
              </w:rPr>
            </w:pPr>
          </w:p>
          <w:p w14:paraId="277DEFAE" w14:textId="77777777" w:rsidR="00A73FEA" w:rsidRDefault="00A73FEA">
            <w:pPr>
              <w:spacing w:after="200"/>
              <w:rPr>
                <w:lang w:eastAsia="en-GB"/>
              </w:rPr>
            </w:pPr>
          </w:p>
          <w:p w14:paraId="2560AE25" w14:textId="77777777" w:rsidR="00A73FEA" w:rsidRDefault="00A73FEA">
            <w:pPr>
              <w:spacing w:after="200"/>
              <w:rPr>
                <w:lang w:eastAsia="en-GB"/>
              </w:rPr>
            </w:pPr>
          </w:p>
          <w:p w14:paraId="0905834F" w14:textId="77777777" w:rsidR="00A73FEA" w:rsidRDefault="00A73FEA">
            <w:pPr>
              <w:spacing w:after="200"/>
              <w:rPr>
                <w:lang w:eastAsia="en-GB"/>
              </w:rPr>
            </w:pPr>
          </w:p>
          <w:p w14:paraId="338B1437" w14:textId="77777777" w:rsidR="00A73FEA" w:rsidRDefault="00A73FEA">
            <w:pPr>
              <w:spacing w:after="200"/>
              <w:rPr>
                <w:lang w:eastAsia="en-GB"/>
              </w:rPr>
            </w:pPr>
          </w:p>
          <w:p w14:paraId="79934364" w14:textId="77777777" w:rsidR="00A73FEA" w:rsidRDefault="00A73FEA">
            <w:pPr>
              <w:spacing w:after="200"/>
              <w:rPr>
                <w:lang w:eastAsia="en-GB"/>
              </w:rPr>
            </w:pPr>
          </w:p>
          <w:p w14:paraId="218D4320" w14:textId="77777777" w:rsidR="00A73FEA" w:rsidRDefault="00A73FEA">
            <w:pPr>
              <w:spacing w:after="200"/>
              <w:rPr>
                <w:lang w:eastAsia="en-GB"/>
              </w:rPr>
            </w:pPr>
          </w:p>
          <w:p w14:paraId="4354D667" w14:textId="77777777" w:rsidR="00A73FEA" w:rsidRDefault="00A73FEA">
            <w:pPr>
              <w:spacing w:after="200"/>
              <w:rPr>
                <w:lang w:eastAsia="en-GB"/>
              </w:rPr>
            </w:pPr>
          </w:p>
          <w:p w14:paraId="28B1F49A" w14:textId="77777777" w:rsidR="00A73FEA" w:rsidRDefault="00A73FEA">
            <w:pPr>
              <w:spacing w:after="200"/>
              <w:rPr>
                <w:lang w:eastAsia="en-GB"/>
              </w:rPr>
            </w:pPr>
          </w:p>
          <w:p w14:paraId="4E0180DA" w14:textId="77777777" w:rsidR="00A73FEA" w:rsidRDefault="00A73FEA">
            <w:pPr>
              <w:spacing w:after="200"/>
              <w:rPr>
                <w:lang w:eastAsia="en-GB"/>
              </w:rPr>
            </w:pPr>
          </w:p>
          <w:p w14:paraId="2AB8FAEC" w14:textId="77777777" w:rsidR="00A73FEA" w:rsidRDefault="00A73FEA">
            <w:pPr>
              <w:spacing w:after="200"/>
              <w:rPr>
                <w:lang w:eastAsia="en-GB"/>
              </w:rPr>
            </w:pPr>
          </w:p>
          <w:p w14:paraId="157EED67" w14:textId="77777777" w:rsidR="00A73FEA" w:rsidRDefault="00A73FEA">
            <w:pPr>
              <w:spacing w:after="200"/>
              <w:rPr>
                <w:lang w:eastAsia="en-GB"/>
              </w:rPr>
            </w:pPr>
          </w:p>
          <w:p w14:paraId="41664EB3" w14:textId="77777777" w:rsidR="00A73FEA" w:rsidRDefault="00A73FEA">
            <w:pPr>
              <w:spacing w:after="200"/>
              <w:rPr>
                <w:lang w:eastAsia="en-GB"/>
              </w:rPr>
            </w:pPr>
          </w:p>
          <w:p w14:paraId="0CE61168" w14:textId="77777777" w:rsidR="00A73FEA" w:rsidRDefault="00A73FEA">
            <w:pPr>
              <w:spacing w:after="200"/>
              <w:rPr>
                <w:lang w:eastAsia="en-GB"/>
              </w:rPr>
            </w:pPr>
          </w:p>
          <w:p w14:paraId="7136773A" w14:textId="77777777" w:rsidR="00A73FEA" w:rsidRDefault="00A73FEA">
            <w:pPr>
              <w:spacing w:after="200"/>
              <w:rPr>
                <w:lang w:eastAsia="en-GB"/>
              </w:rPr>
            </w:pPr>
          </w:p>
        </w:tc>
      </w:tr>
      <w:tr w:rsidR="00A73FEA" w14:paraId="7FD16540" w14:textId="77777777" w:rsidTr="00A73FEA">
        <w:trPr>
          <w:trHeight w:hRule="exact" w:val="10011"/>
        </w:trPr>
        <w:tc>
          <w:tcPr>
            <w:tcW w:w="176" w:type="pct"/>
            <w:tcBorders>
              <w:top w:val="single" w:sz="4" w:space="0" w:color="auto"/>
              <w:left w:val="single" w:sz="4" w:space="0" w:color="auto"/>
              <w:bottom w:val="single" w:sz="4" w:space="0" w:color="auto"/>
              <w:right w:val="single" w:sz="4" w:space="0" w:color="auto"/>
            </w:tcBorders>
            <w:vAlign w:val="center"/>
          </w:tcPr>
          <w:p w14:paraId="0DB7815A"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tcPr>
          <w:p w14:paraId="53EA0D65" w14:textId="77777777" w:rsidR="00A73FEA" w:rsidRDefault="00A73FEA">
            <w:pPr>
              <w:spacing w:after="200"/>
              <w:ind w:left="20"/>
              <w:rPr>
                <w:lang w:eastAsia="en-GB"/>
              </w:rPr>
            </w:pPr>
            <w:r>
              <w:rPr>
                <w:lang w:eastAsia="en-GB"/>
              </w:rPr>
              <w:t>How will these outcomes directly result in benefit for the public? Please give details. This should be the main section answered.</w:t>
            </w:r>
          </w:p>
          <w:p w14:paraId="5510C244" w14:textId="77777777" w:rsidR="00A73FEA" w:rsidRDefault="00A73FEA">
            <w:pPr>
              <w:spacing w:after="200"/>
              <w:ind w:left="20"/>
              <w:rPr>
                <w:lang w:eastAsia="en-GB"/>
              </w:rPr>
            </w:pPr>
          </w:p>
          <w:p w14:paraId="7EF99E17" w14:textId="77777777" w:rsidR="00A73FEA" w:rsidRDefault="00A73FEA">
            <w:pPr>
              <w:spacing w:after="200"/>
              <w:ind w:left="20"/>
              <w:rPr>
                <w:lang w:eastAsia="en-GB"/>
              </w:rPr>
            </w:pPr>
          </w:p>
          <w:p w14:paraId="4932CE11" w14:textId="77777777" w:rsidR="00A73FEA" w:rsidRDefault="00A73FEA">
            <w:pPr>
              <w:spacing w:after="200"/>
              <w:ind w:left="20"/>
              <w:rPr>
                <w:lang w:eastAsia="en-GB"/>
              </w:rPr>
            </w:pPr>
          </w:p>
          <w:p w14:paraId="3D1849CD" w14:textId="77777777" w:rsidR="00A73FEA" w:rsidRDefault="00A73FEA">
            <w:pPr>
              <w:spacing w:after="200"/>
              <w:ind w:left="20"/>
              <w:rPr>
                <w:lang w:eastAsia="en-GB"/>
              </w:rPr>
            </w:pPr>
          </w:p>
          <w:p w14:paraId="67D41F54" w14:textId="77777777" w:rsidR="00A73FEA" w:rsidRDefault="00A73FEA">
            <w:pPr>
              <w:spacing w:after="200"/>
              <w:ind w:left="20"/>
              <w:rPr>
                <w:lang w:eastAsia="en-GB"/>
              </w:rPr>
            </w:pPr>
          </w:p>
          <w:p w14:paraId="4FC2BBE5" w14:textId="77777777" w:rsidR="00A73FEA" w:rsidRDefault="00A73FEA">
            <w:pPr>
              <w:spacing w:after="200"/>
              <w:ind w:left="20"/>
              <w:rPr>
                <w:lang w:eastAsia="en-GB"/>
              </w:rPr>
            </w:pPr>
          </w:p>
          <w:p w14:paraId="7CAF2CFC" w14:textId="77777777" w:rsidR="00A73FEA" w:rsidRDefault="00A73FEA">
            <w:pPr>
              <w:spacing w:after="200"/>
              <w:ind w:left="20"/>
              <w:rPr>
                <w:lang w:eastAsia="en-GB"/>
              </w:rPr>
            </w:pPr>
          </w:p>
        </w:tc>
        <w:tc>
          <w:tcPr>
            <w:tcW w:w="3081" w:type="pct"/>
            <w:tcBorders>
              <w:top w:val="single" w:sz="4" w:space="0" w:color="auto"/>
              <w:left w:val="single" w:sz="4" w:space="0" w:color="auto"/>
              <w:bottom w:val="single" w:sz="4" w:space="0" w:color="auto"/>
              <w:right w:val="single" w:sz="4" w:space="0" w:color="auto"/>
            </w:tcBorders>
          </w:tcPr>
          <w:p w14:paraId="675DB5DB" w14:textId="77777777" w:rsidR="00A73FEA" w:rsidRDefault="00A73FEA">
            <w:pPr>
              <w:rPr>
                <w:lang w:eastAsia="en-GB"/>
              </w:rPr>
            </w:pPr>
            <w:r>
              <w:rPr>
                <w:lang w:eastAsia="en-GB"/>
              </w:rPr>
              <w:t>There are currently very limited treatment options for people who are infected with COVID-19 in the community.   Recently, a couple of treatments such as molnupiravir and paxlovid have shown to be effective in reducing hospitalisation/death rate in people with COVID-19.  However, the evidence of these treatments has been very much focusing on unvaccinated population and therefore not entirely relevant to the UK population when a high proportion of the population has been vaccination.  Therefore, this trial is important to demonstrate (1) if the treatment should be given to a high risk group in the UK; (2) if the trial could reduce hospitalisation so that the pressure to the hospital in UK can be reduced; (3) if the treatment could reduce viral load that would also lead to lower transmission of infection within the community.  The results of the study will able to provide a definitive evidence to the government and members of the public as whether the tested antiviral treatments should be used as standard treatment for COVID-19 in this high risk population in UK.</w:t>
            </w:r>
          </w:p>
          <w:p w14:paraId="11168B92" w14:textId="77777777" w:rsidR="00A73FEA" w:rsidRDefault="00A73FEA">
            <w:pPr>
              <w:rPr>
                <w:lang w:eastAsia="en-GB"/>
              </w:rPr>
            </w:pPr>
          </w:p>
          <w:p w14:paraId="28F520EE" w14:textId="77777777" w:rsidR="00A73FEA" w:rsidRDefault="00A73FEA">
            <w:pPr>
              <w:rPr>
                <w:lang w:eastAsia="en-GB"/>
              </w:rPr>
            </w:pPr>
            <w:r>
              <w:rPr>
                <w:lang w:eastAsia="en-GB"/>
              </w:rPr>
              <w:t xml:space="preserve">In order to ensure the trial is conducted at high quality, we must collect good quality data so that we can be sure all hospitalisation/death events are captured and kept any missing data to its minimal (under 5%).  Therefore, the NHS Scotland data will be a vital data source to achieve this target (at least for the population in Scotland).  </w:t>
            </w:r>
          </w:p>
          <w:p w14:paraId="5EFD0979" w14:textId="77777777" w:rsidR="00A73FEA" w:rsidRDefault="00A73FEA">
            <w:pPr>
              <w:rPr>
                <w:lang w:eastAsia="en-GB"/>
              </w:rPr>
            </w:pPr>
          </w:p>
          <w:p w14:paraId="2C615DF2" w14:textId="77777777" w:rsidR="00A73FEA" w:rsidRDefault="00A73FEA">
            <w:pPr>
              <w:rPr>
                <w:lang w:eastAsia="en-GB"/>
              </w:rPr>
            </w:pPr>
            <w:r>
              <w:rPr>
                <w:lang w:eastAsia="en-GB"/>
              </w:rPr>
              <w:t xml:space="preserve">The other reason for the request is to conduct health economics evaluation, which almost all the resource use data are not captured in the trial.  This is because we do not want to put too much burden in terms of data collection to participants.  We have requested similar resource data from NHS England for participants living in England but since health services in Scotland is different from England, we would like to make sure the health economic evaluation will incorporate data from all four nations to give a true representation of cost-effectiveness of the treatments being used in the UK. </w:t>
            </w:r>
          </w:p>
          <w:p w14:paraId="2E5DD17A" w14:textId="77777777" w:rsidR="00A73FEA" w:rsidRDefault="00A73FEA">
            <w:pPr>
              <w:rPr>
                <w:lang w:eastAsia="en-GB"/>
              </w:rPr>
            </w:pPr>
            <w:r>
              <w:rPr>
                <w:lang w:eastAsia="en-GB"/>
              </w:rPr>
              <w:t xml:space="preserve"> </w:t>
            </w:r>
          </w:p>
          <w:p w14:paraId="6039F083" w14:textId="77777777" w:rsidR="00A73FEA" w:rsidRDefault="00A73FEA">
            <w:pPr>
              <w:rPr>
                <w:lang w:eastAsia="en-GB"/>
              </w:rPr>
            </w:pPr>
          </w:p>
          <w:p w14:paraId="29CCBE76" w14:textId="77777777" w:rsidR="00A73FEA" w:rsidRDefault="00A73FEA">
            <w:pPr>
              <w:rPr>
                <w:lang w:eastAsia="en-GB"/>
              </w:rPr>
            </w:pPr>
          </w:p>
          <w:p w14:paraId="2EB38BC9" w14:textId="77777777" w:rsidR="00A73FEA" w:rsidRDefault="00A73FEA">
            <w:pPr>
              <w:rPr>
                <w:lang w:eastAsia="en-GB"/>
              </w:rPr>
            </w:pPr>
          </w:p>
          <w:p w14:paraId="39066C78" w14:textId="77777777" w:rsidR="00A73FEA" w:rsidRDefault="00A73FEA">
            <w:pPr>
              <w:rPr>
                <w:lang w:eastAsia="en-GB"/>
              </w:rPr>
            </w:pPr>
          </w:p>
          <w:p w14:paraId="467C1840" w14:textId="77777777" w:rsidR="00A73FEA" w:rsidRDefault="00A73FEA">
            <w:pPr>
              <w:rPr>
                <w:lang w:eastAsia="en-GB"/>
              </w:rPr>
            </w:pPr>
          </w:p>
          <w:p w14:paraId="21BB353B" w14:textId="77777777" w:rsidR="00A73FEA" w:rsidRDefault="00A73FEA">
            <w:pPr>
              <w:rPr>
                <w:lang w:eastAsia="en-GB"/>
              </w:rPr>
            </w:pPr>
          </w:p>
          <w:p w14:paraId="25F5D414" w14:textId="77777777" w:rsidR="00A73FEA" w:rsidRDefault="00A73FEA">
            <w:pPr>
              <w:rPr>
                <w:lang w:eastAsia="en-GB"/>
              </w:rPr>
            </w:pPr>
          </w:p>
          <w:p w14:paraId="62D5CD38" w14:textId="77777777" w:rsidR="00A73FEA" w:rsidRDefault="00A73FEA">
            <w:pPr>
              <w:rPr>
                <w:lang w:eastAsia="en-GB"/>
              </w:rPr>
            </w:pPr>
          </w:p>
          <w:p w14:paraId="3F2EC1E6" w14:textId="77777777" w:rsidR="00A73FEA" w:rsidRDefault="00A73FEA">
            <w:pPr>
              <w:rPr>
                <w:lang w:eastAsia="en-GB"/>
              </w:rPr>
            </w:pPr>
          </w:p>
        </w:tc>
      </w:tr>
      <w:tr w:rsidR="00A73FEA" w14:paraId="0C336F24"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263A25" w14:textId="77777777" w:rsidR="00A73FEA" w:rsidRDefault="00A73FEA">
            <w:pPr>
              <w:spacing w:after="200"/>
              <w:rPr>
                <w:lang w:eastAsia="en-GB"/>
              </w:rPr>
            </w:pPr>
            <w:r>
              <w:rPr>
                <w:lang w:eastAsia="en-GB"/>
              </w:rPr>
              <w:t>3</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915484" w14:textId="77777777" w:rsidR="00A73FEA" w:rsidRDefault="00A73FEA">
            <w:pPr>
              <w:spacing w:after="200"/>
              <w:ind w:left="20"/>
              <w:rPr>
                <w:b/>
                <w:lang w:eastAsia="en-GB"/>
              </w:rPr>
            </w:pPr>
            <w:r>
              <w:rPr>
                <w:b/>
                <w:lang w:eastAsia="en-GB"/>
              </w:rPr>
              <w:t xml:space="preserve">Data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6412D7" w14:textId="77777777" w:rsidR="00A73FEA" w:rsidRDefault="00A73FEA">
            <w:pPr>
              <w:spacing w:after="200"/>
              <w:ind w:left="360"/>
              <w:rPr>
                <w:lang w:eastAsia="en-GB"/>
              </w:rPr>
            </w:pPr>
          </w:p>
        </w:tc>
      </w:tr>
      <w:tr w:rsidR="00A73FEA" w14:paraId="614A81BB" w14:textId="77777777" w:rsidTr="00A73FEA">
        <w:trPr>
          <w:trHeight w:hRule="exact" w:val="1418"/>
        </w:trPr>
        <w:tc>
          <w:tcPr>
            <w:tcW w:w="176" w:type="pct"/>
            <w:tcBorders>
              <w:top w:val="single" w:sz="4" w:space="0" w:color="auto"/>
              <w:left w:val="single" w:sz="4" w:space="0" w:color="auto"/>
              <w:bottom w:val="single" w:sz="4" w:space="0" w:color="auto"/>
              <w:right w:val="single" w:sz="4" w:space="0" w:color="auto"/>
            </w:tcBorders>
            <w:vAlign w:val="center"/>
          </w:tcPr>
          <w:p w14:paraId="2C3B71ED"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7F8E4D43" w14:textId="77777777" w:rsidR="00A73FEA" w:rsidRDefault="00A73FEA">
            <w:pPr>
              <w:spacing w:after="200"/>
              <w:ind w:left="20"/>
              <w:rPr>
                <w:lang w:eastAsia="en-GB"/>
              </w:rPr>
            </w:pPr>
            <w:r>
              <w:rPr>
                <w:lang w:eastAsia="en-GB"/>
              </w:rPr>
              <w:t xml:space="preserve">What data were received/processed/collected? </w:t>
            </w:r>
          </w:p>
          <w:p w14:paraId="1136FE13" w14:textId="77777777" w:rsidR="00A73FEA" w:rsidRDefault="00A73FEA">
            <w:pPr>
              <w:spacing w:after="200"/>
              <w:ind w:left="20"/>
              <w:rPr>
                <w:lang w:eastAsia="en-GB"/>
              </w:rPr>
            </w:pPr>
            <w:r>
              <w:rPr>
                <w:lang w:eastAsia="en-GB"/>
              </w:rPr>
              <w:t>Was it as expected? Please give brief details.</w:t>
            </w:r>
          </w:p>
        </w:tc>
        <w:tc>
          <w:tcPr>
            <w:tcW w:w="3081" w:type="pct"/>
            <w:tcBorders>
              <w:top w:val="single" w:sz="4" w:space="0" w:color="auto"/>
              <w:left w:val="single" w:sz="4" w:space="0" w:color="auto"/>
              <w:bottom w:val="single" w:sz="4" w:space="0" w:color="auto"/>
              <w:right w:val="single" w:sz="4" w:space="0" w:color="auto"/>
            </w:tcBorders>
            <w:vAlign w:val="center"/>
            <w:hideMark/>
          </w:tcPr>
          <w:p w14:paraId="05BDE6C3" w14:textId="77777777" w:rsidR="00A73FEA" w:rsidRDefault="00A73FEA">
            <w:pPr>
              <w:rPr>
                <w:lang w:eastAsia="en-GB"/>
              </w:rPr>
            </w:pPr>
            <w:r>
              <w:rPr>
                <w:lang w:eastAsia="en-GB"/>
              </w:rPr>
              <w:t>All as expected as per application.</w:t>
            </w:r>
          </w:p>
        </w:tc>
      </w:tr>
      <w:tr w:rsidR="00A73FEA" w14:paraId="202C225D"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5FDA4C" w14:textId="77777777" w:rsidR="00A73FEA" w:rsidRDefault="00A73FEA">
            <w:pPr>
              <w:spacing w:after="200"/>
              <w:rPr>
                <w:lang w:eastAsia="en-GB"/>
              </w:rPr>
            </w:pPr>
            <w:r>
              <w:rPr>
                <w:lang w:eastAsia="en-GB"/>
              </w:rPr>
              <w:t>4</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4656A6" w14:textId="77777777" w:rsidR="00A73FEA" w:rsidRDefault="00A73FEA">
            <w:pPr>
              <w:spacing w:after="200"/>
              <w:ind w:left="20"/>
              <w:rPr>
                <w:b/>
                <w:lang w:eastAsia="en-GB"/>
              </w:rPr>
            </w:pPr>
            <w:r>
              <w:rPr>
                <w:b/>
                <w:lang w:eastAsia="en-GB"/>
              </w:rPr>
              <w:t xml:space="preserve">Methodology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76EB42" w14:textId="77777777" w:rsidR="00A73FEA" w:rsidRDefault="00A73FEA">
            <w:pPr>
              <w:spacing w:after="200"/>
              <w:ind w:left="360"/>
              <w:rPr>
                <w:lang w:eastAsia="en-GB"/>
              </w:rPr>
            </w:pPr>
          </w:p>
        </w:tc>
      </w:tr>
      <w:tr w:rsidR="00A73FEA" w14:paraId="290E2DA2" w14:textId="77777777" w:rsidTr="00A73FEA">
        <w:trPr>
          <w:trHeight w:val="1820"/>
        </w:trPr>
        <w:tc>
          <w:tcPr>
            <w:tcW w:w="176" w:type="pct"/>
            <w:vMerge w:val="restart"/>
            <w:tcBorders>
              <w:top w:val="single" w:sz="4" w:space="0" w:color="auto"/>
              <w:left w:val="single" w:sz="4" w:space="0" w:color="auto"/>
              <w:bottom w:val="single" w:sz="4" w:space="0" w:color="auto"/>
              <w:right w:val="single" w:sz="4" w:space="0" w:color="auto"/>
            </w:tcBorders>
            <w:vAlign w:val="center"/>
          </w:tcPr>
          <w:p w14:paraId="582F0607"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1F0715E2" w14:textId="77777777" w:rsidR="00A73FEA" w:rsidRDefault="00A73FEA">
            <w:pPr>
              <w:spacing w:after="200"/>
              <w:ind w:left="20"/>
              <w:rPr>
                <w:lang w:eastAsia="en-GB"/>
              </w:rPr>
            </w:pPr>
            <w:r>
              <w:rPr>
                <w:lang w:eastAsia="en-GB"/>
              </w:rPr>
              <w:t>How did you collect the data?</w:t>
            </w:r>
          </w:p>
        </w:tc>
        <w:tc>
          <w:tcPr>
            <w:tcW w:w="3081" w:type="pct"/>
            <w:tcBorders>
              <w:top w:val="single" w:sz="4" w:space="0" w:color="auto"/>
              <w:left w:val="single" w:sz="4" w:space="0" w:color="auto"/>
              <w:bottom w:val="single" w:sz="4" w:space="0" w:color="auto"/>
              <w:right w:val="single" w:sz="4" w:space="0" w:color="auto"/>
            </w:tcBorders>
            <w:vAlign w:val="center"/>
            <w:hideMark/>
          </w:tcPr>
          <w:p w14:paraId="6DDF42AF" w14:textId="77777777" w:rsidR="00A73FEA" w:rsidRDefault="00A73FEA">
            <w:pPr>
              <w:rPr>
                <w:lang w:eastAsia="en-GB"/>
              </w:rPr>
            </w:pPr>
            <w:r>
              <w:rPr>
                <w:lang w:eastAsia="en-GB"/>
              </w:rPr>
              <w:t>Data are obtained directly from participants via a secured online platform that include screening, eligibility, informed consent, safety, and daily diary data.  Other data are obtained from routinely collected data.</w:t>
            </w:r>
          </w:p>
        </w:tc>
      </w:tr>
      <w:tr w:rsidR="00A73FEA" w14:paraId="432DB66E" w14:textId="77777777" w:rsidTr="00A73FEA">
        <w:trPr>
          <w:trHeight w:hRule="exact" w:val="52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975A6" w14:textId="77777777" w:rsidR="00A73FEA" w:rsidRDefault="00A73FEA">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402313F5" w14:textId="77777777" w:rsidR="00A73FEA" w:rsidRDefault="00A73FEA">
            <w:pPr>
              <w:spacing w:after="200"/>
              <w:ind w:left="20"/>
              <w:rPr>
                <w:lang w:eastAsia="en-GB"/>
              </w:rPr>
            </w:pPr>
            <w:r>
              <w:rPr>
                <w:lang w:eastAsia="en-GB"/>
              </w:rPr>
              <w:t xml:space="preserve">How did you process the data? </w:t>
            </w:r>
          </w:p>
          <w:p w14:paraId="1CC16FC1" w14:textId="77777777" w:rsidR="00A73FEA" w:rsidRDefault="00A73FEA">
            <w:pPr>
              <w:spacing w:after="200"/>
              <w:ind w:left="20"/>
              <w:rPr>
                <w:lang w:eastAsia="en-GB"/>
              </w:rPr>
            </w:pPr>
          </w:p>
          <w:p w14:paraId="43E8F91C" w14:textId="77777777" w:rsidR="00A73FEA" w:rsidRDefault="00A73FEA">
            <w:pPr>
              <w:spacing w:after="200"/>
              <w:ind w:left="20"/>
              <w:rPr>
                <w:lang w:eastAsia="en-GB"/>
              </w:rPr>
            </w:pPr>
          </w:p>
          <w:p w14:paraId="5BA97146" w14:textId="77777777" w:rsidR="00A73FEA" w:rsidRDefault="00A73FEA">
            <w:pPr>
              <w:spacing w:after="200"/>
              <w:ind w:left="20"/>
              <w:rPr>
                <w:lang w:eastAsia="en-GB"/>
              </w:rPr>
            </w:pPr>
          </w:p>
          <w:p w14:paraId="0E6B7CEC" w14:textId="77777777" w:rsidR="00A73FEA" w:rsidRDefault="00A73FEA">
            <w:pPr>
              <w:spacing w:after="200"/>
              <w:ind w:left="20"/>
              <w:rPr>
                <w:lang w:eastAsia="en-GB"/>
              </w:rPr>
            </w:pPr>
          </w:p>
          <w:p w14:paraId="4CA43231" w14:textId="77777777" w:rsidR="00A73FEA" w:rsidRDefault="00A73FEA">
            <w:pPr>
              <w:spacing w:after="200"/>
              <w:ind w:left="20"/>
              <w:rPr>
                <w:lang w:eastAsia="en-GB"/>
              </w:rPr>
            </w:pPr>
          </w:p>
        </w:tc>
        <w:tc>
          <w:tcPr>
            <w:tcW w:w="3081" w:type="pct"/>
            <w:tcBorders>
              <w:top w:val="single" w:sz="4" w:space="0" w:color="auto"/>
              <w:left w:val="single" w:sz="4" w:space="0" w:color="auto"/>
              <w:bottom w:val="single" w:sz="4" w:space="0" w:color="auto"/>
              <w:right w:val="single" w:sz="4" w:space="0" w:color="auto"/>
            </w:tcBorders>
            <w:vAlign w:val="center"/>
          </w:tcPr>
          <w:p w14:paraId="52264E14" w14:textId="77777777" w:rsidR="00A73FEA" w:rsidRDefault="00A73FEA">
            <w:pPr>
              <w:rPr>
                <w:lang w:eastAsia="en-GB"/>
              </w:rPr>
            </w:pPr>
            <w:r>
              <w:rPr>
                <w:lang w:eastAsia="en-GB"/>
              </w:rPr>
              <w:t>A data manager will conduct data cleaning. Statistical analysis will be carried out by statisticians who will process the data from a restricted access folder.  In addition, anonymised data will be transferred to the statisticians in the USA (Berry Consultants) for interim and final analyses of the primary outcome.  That will be no personal data such as date of birth, name, addresses, being sent to the USA.  The statisticians in Oxford will remove participant identifier such as study ID to ensure data cannot be identifiable by any of  the statisticians in Berry Consultants or anyone in the trial team.  As for the primary outcome, Berry Consultants will only receive an indicator of whether the participants have an event or not (i.e. a binary data with 1 indicating hospitalisation/death, and 0 indicating alive). No date of hospitalisation or date of death data will be transferred to the US.  Some baseline characteristics and diary data will also be transferred to Berry for analysis, but these data are collected directly from participants themselves who have already consented to the anonymised data being sent to the US for analysis.</w:t>
            </w:r>
          </w:p>
          <w:p w14:paraId="228E2BA9" w14:textId="77777777" w:rsidR="00A73FEA" w:rsidRDefault="00A73FEA">
            <w:pPr>
              <w:spacing w:after="200"/>
              <w:ind w:left="20"/>
              <w:rPr>
                <w:lang w:eastAsia="en-GB"/>
              </w:rPr>
            </w:pPr>
          </w:p>
        </w:tc>
      </w:tr>
      <w:tr w:rsidR="00A73FEA" w14:paraId="228F5F4E" w14:textId="77777777" w:rsidTr="00A73FEA">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C711A" w14:textId="77777777" w:rsidR="00A73FEA" w:rsidRDefault="00A73FEA">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174BD5CE" w14:textId="77777777" w:rsidR="00A73FEA" w:rsidRDefault="00A73FEA">
            <w:pPr>
              <w:spacing w:after="200"/>
              <w:ind w:left="20"/>
              <w:rPr>
                <w:lang w:eastAsia="en-GB"/>
              </w:rPr>
            </w:pPr>
            <w:r>
              <w:rPr>
                <w:lang w:eastAsia="en-GB"/>
              </w:rPr>
              <w:t>How did you provision/publish the information?</w:t>
            </w:r>
          </w:p>
        </w:tc>
        <w:tc>
          <w:tcPr>
            <w:tcW w:w="3081" w:type="pct"/>
            <w:tcBorders>
              <w:top w:val="single" w:sz="4" w:space="0" w:color="auto"/>
              <w:left w:val="single" w:sz="4" w:space="0" w:color="auto"/>
              <w:bottom w:val="single" w:sz="4" w:space="0" w:color="auto"/>
              <w:right w:val="single" w:sz="4" w:space="0" w:color="auto"/>
            </w:tcBorders>
            <w:hideMark/>
          </w:tcPr>
          <w:p w14:paraId="5355EDC4" w14:textId="77777777" w:rsidR="00A73FEA" w:rsidRDefault="00A73FEA">
            <w:pPr>
              <w:rPr>
                <w:lang w:eastAsia="en-GB"/>
              </w:rPr>
            </w:pPr>
            <w:r>
              <w:rPr>
                <w:lang w:eastAsia="en-GB"/>
              </w:rPr>
              <w:t>Via journals, presentations and website</w:t>
            </w:r>
          </w:p>
        </w:tc>
      </w:tr>
      <w:tr w:rsidR="00A73FEA" w14:paraId="1608F348" w14:textId="77777777" w:rsidTr="00A73FEA">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80AC6" w14:textId="77777777" w:rsidR="00A73FEA" w:rsidRDefault="00A73FEA">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73D24D28" w14:textId="77777777" w:rsidR="00A73FEA" w:rsidRDefault="00A73FEA">
            <w:pPr>
              <w:spacing w:after="200"/>
              <w:ind w:left="20"/>
              <w:rPr>
                <w:lang w:eastAsia="en-GB"/>
              </w:rPr>
            </w:pPr>
            <w:r>
              <w:rPr>
                <w:lang w:eastAsia="en-GB"/>
              </w:rPr>
              <w:t>Did your study scope change from its original aims? Please give brief details.</w:t>
            </w:r>
          </w:p>
          <w:p w14:paraId="65E6E1DA" w14:textId="77777777" w:rsidR="00A73FEA" w:rsidRDefault="00A73FEA">
            <w:pPr>
              <w:spacing w:after="200"/>
              <w:ind w:left="20"/>
              <w:rPr>
                <w:lang w:eastAsia="en-GB"/>
              </w:rPr>
            </w:pPr>
          </w:p>
        </w:tc>
        <w:tc>
          <w:tcPr>
            <w:tcW w:w="3081" w:type="pct"/>
            <w:tcBorders>
              <w:top w:val="single" w:sz="4" w:space="0" w:color="auto"/>
              <w:left w:val="single" w:sz="4" w:space="0" w:color="auto"/>
              <w:bottom w:val="single" w:sz="4" w:space="0" w:color="auto"/>
              <w:right w:val="single" w:sz="4" w:space="0" w:color="auto"/>
            </w:tcBorders>
            <w:hideMark/>
          </w:tcPr>
          <w:p w14:paraId="65735ECE" w14:textId="77777777" w:rsidR="00A73FEA" w:rsidRDefault="00A73FEA">
            <w:pPr>
              <w:rPr>
                <w:lang w:eastAsia="en-GB"/>
              </w:rPr>
            </w:pPr>
            <w:r>
              <w:rPr>
                <w:lang w:eastAsia="en-GB"/>
              </w:rPr>
              <w:t>No</w:t>
            </w:r>
          </w:p>
        </w:tc>
      </w:tr>
      <w:tr w:rsidR="00A73FEA" w14:paraId="32110F69"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69E0F4" w14:textId="77777777" w:rsidR="00A73FEA" w:rsidRDefault="00A73FEA">
            <w:pPr>
              <w:spacing w:after="200"/>
              <w:rPr>
                <w:lang w:eastAsia="en-GB"/>
              </w:rPr>
            </w:pPr>
            <w:r>
              <w:rPr>
                <w:lang w:eastAsia="en-GB"/>
              </w:rPr>
              <w:t>5</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E7DBA4" w14:textId="77777777" w:rsidR="00A73FEA" w:rsidRDefault="00A73FEA">
            <w:pPr>
              <w:spacing w:after="200"/>
              <w:ind w:left="20"/>
              <w:rPr>
                <w:b/>
                <w:lang w:eastAsia="en-GB"/>
              </w:rPr>
            </w:pPr>
            <w:r>
              <w:rPr>
                <w:b/>
                <w:lang w:eastAsia="en-GB"/>
              </w:rPr>
              <w:t xml:space="preserve">Outcomes: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E1E4BD" w14:textId="77777777" w:rsidR="00A73FEA" w:rsidRDefault="00A73FEA">
            <w:pPr>
              <w:spacing w:after="200"/>
              <w:ind w:left="360"/>
              <w:rPr>
                <w:lang w:eastAsia="en-GB"/>
              </w:rPr>
            </w:pPr>
          </w:p>
        </w:tc>
      </w:tr>
      <w:tr w:rsidR="00A73FEA" w14:paraId="51F56DE3" w14:textId="77777777" w:rsidTr="00A73FEA">
        <w:trPr>
          <w:trHeight w:val="1060"/>
        </w:trPr>
        <w:tc>
          <w:tcPr>
            <w:tcW w:w="176" w:type="pct"/>
            <w:tcBorders>
              <w:top w:val="single" w:sz="4" w:space="0" w:color="auto"/>
              <w:left w:val="single" w:sz="4" w:space="0" w:color="auto"/>
              <w:bottom w:val="single" w:sz="4" w:space="0" w:color="auto"/>
              <w:right w:val="single" w:sz="4" w:space="0" w:color="auto"/>
            </w:tcBorders>
            <w:vAlign w:val="center"/>
          </w:tcPr>
          <w:p w14:paraId="5389066F"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4AC8C19E" w14:textId="77777777" w:rsidR="00A73FEA" w:rsidRDefault="00A73FEA">
            <w:pPr>
              <w:spacing w:after="200"/>
              <w:ind w:left="20"/>
              <w:rPr>
                <w:lang w:eastAsia="en-GB"/>
              </w:rPr>
            </w:pPr>
            <w:r>
              <w:rPr>
                <w:lang w:eastAsia="en-GB"/>
              </w:rPr>
              <w:t>The outcomes / results of your proposal. Please give brief details.</w:t>
            </w:r>
          </w:p>
        </w:tc>
        <w:tc>
          <w:tcPr>
            <w:tcW w:w="3081" w:type="pct"/>
            <w:tcBorders>
              <w:top w:val="single" w:sz="4" w:space="0" w:color="auto"/>
              <w:left w:val="single" w:sz="4" w:space="0" w:color="auto"/>
              <w:bottom w:val="single" w:sz="4" w:space="0" w:color="auto"/>
              <w:right w:val="single" w:sz="4" w:space="0" w:color="auto"/>
            </w:tcBorders>
            <w:hideMark/>
          </w:tcPr>
          <w:p w14:paraId="12B89674" w14:textId="77777777" w:rsidR="00A73FEA" w:rsidRDefault="00A73FEA">
            <w:pPr>
              <w:rPr>
                <w:lang w:eastAsia="en-GB"/>
              </w:rPr>
            </w:pPr>
            <w:hyperlink r:id="rId12" w:history="1">
              <w:r>
                <w:rPr>
                  <w:rStyle w:val="Hyperlink"/>
                  <w:lang w:eastAsia="en-GB"/>
                </w:rPr>
                <w:t>https://www.panoramictrial.org/results</w:t>
              </w:r>
            </w:hyperlink>
          </w:p>
          <w:p w14:paraId="4E70A1A1" w14:textId="77777777" w:rsidR="00A73FEA" w:rsidRDefault="00A73FEA">
            <w:pPr>
              <w:rPr>
                <w:lang w:eastAsia="en-GB"/>
              </w:rPr>
            </w:pPr>
            <w:r>
              <w:rPr>
                <w:lang w:eastAsia="en-GB"/>
              </w:rPr>
              <w:t>All results so far are listed here, links publications listed above</w:t>
            </w:r>
          </w:p>
        </w:tc>
      </w:tr>
      <w:tr w:rsidR="00A73FEA" w14:paraId="7E1385C7"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85737B" w14:textId="77777777" w:rsidR="00A73FEA" w:rsidRDefault="00A73FEA">
            <w:pPr>
              <w:spacing w:after="200"/>
              <w:rPr>
                <w:lang w:eastAsia="en-GB"/>
              </w:rPr>
            </w:pPr>
            <w:r>
              <w:rPr>
                <w:lang w:eastAsia="en-GB"/>
              </w:rPr>
              <w:t>6</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AC239A" w14:textId="77777777" w:rsidR="00A73FEA" w:rsidRDefault="00A73FEA">
            <w:pPr>
              <w:spacing w:after="200"/>
              <w:ind w:left="20"/>
              <w:rPr>
                <w:b/>
                <w:lang w:eastAsia="en-GB"/>
              </w:rPr>
            </w:pPr>
            <w:r>
              <w:rPr>
                <w:b/>
                <w:lang w:eastAsia="en-GB"/>
              </w:rPr>
              <w:t>Future Questions:</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DEB6B1" w14:textId="77777777" w:rsidR="00A73FEA" w:rsidRDefault="00A73FEA">
            <w:pPr>
              <w:spacing w:after="200"/>
              <w:ind w:left="360"/>
              <w:rPr>
                <w:lang w:eastAsia="en-GB"/>
              </w:rPr>
            </w:pPr>
          </w:p>
        </w:tc>
      </w:tr>
      <w:tr w:rsidR="00A73FEA" w14:paraId="1F46949C" w14:textId="77777777" w:rsidTr="00A73FEA">
        <w:trPr>
          <w:trHeight w:val="1342"/>
        </w:trPr>
        <w:tc>
          <w:tcPr>
            <w:tcW w:w="176" w:type="pct"/>
            <w:tcBorders>
              <w:top w:val="single" w:sz="4" w:space="0" w:color="auto"/>
              <w:left w:val="single" w:sz="4" w:space="0" w:color="auto"/>
              <w:bottom w:val="single" w:sz="4" w:space="0" w:color="auto"/>
              <w:right w:val="single" w:sz="4" w:space="0" w:color="auto"/>
            </w:tcBorders>
            <w:vAlign w:val="center"/>
          </w:tcPr>
          <w:p w14:paraId="4E002F8F"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782D5BFC" w14:textId="77777777" w:rsidR="00A73FEA" w:rsidRDefault="00A73FEA">
            <w:pPr>
              <w:spacing w:after="200"/>
              <w:ind w:left="20"/>
              <w:rPr>
                <w:lang w:eastAsia="en-GB"/>
              </w:rPr>
            </w:pPr>
            <w:r>
              <w:rPr>
                <w:lang w:eastAsia="en-GB"/>
              </w:rPr>
              <w:t>Have the processes / results raised further questions for future exploration? Please give brief details.</w:t>
            </w:r>
          </w:p>
        </w:tc>
        <w:tc>
          <w:tcPr>
            <w:tcW w:w="3081" w:type="pct"/>
            <w:tcBorders>
              <w:top w:val="single" w:sz="4" w:space="0" w:color="auto"/>
              <w:left w:val="single" w:sz="4" w:space="0" w:color="auto"/>
              <w:bottom w:val="single" w:sz="4" w:space="0" w:color="auto"/>
              <w:right w:val="single" w:sz="4" w:space="0" w:color="auto"/>
            </w:tcBorders>
          </w:tcPr>
          <w:p w14:paraId="7F2EC6FB" w14:textId="77777777" w:rsidR="00A73FEA" w:rsidRDefault="00A73FEA">
            <w:pPr>
              <w:rPr>
                <w:lang w:eastAsia="en-GB"/>
              </w:rPr>
            </w:pPr>
            <w:r>
              <w:rPr>
                <w:lang w:eastAsia="en-GB"/>
              </w:rPr>
              <w:t>None specified</w:t>
            </w:r>
          </w:p>
          <w:p w14:paraId="409495E0" w14:textId="77777777" w:rsidR="00A73FEA" w:rsidRDefault="00A73FEA">
            <w:pPr>
              <w:rPr>
                <w:lang w:eastAsia="en-GB"/>
              </w:rPr>
            </w:pPr>
          </w:p>
        </w:tc>
      </w:tr>
    </w:tbl>
    <w:p w14:paraId="71BFDD2A" w14:textId="77777777" w:rsidR="00A73FEA" w:rsidRDefault="00A73FEA" w:rsidP="00A73FEA">
      <w:pPr>
        <w:spacing w:line="240" w:lineRule="auto"/>
        <w:ind w:left="-851"/>
        <w:rPr>
          <w:rFonts w:ascii="Arial" w:eastAsia="Times New Roman" w:hAnsi="Arial" w:cs="Arial"/>
          <w:lang w:eastAsia="en-GB"/>
        </w:rPr>
      </w:pPr>
    </w:p>
    <w:p w14:paraId="689492CF" w14:textId="77777777" w:rsidR="00A73FEA" w:rsidRDefault="00A73FEA" w:rsidP="00A73FEA">
      <w:pPr>
        <w:spacing w:line="240" w:lineRule="auto"/>
        <w:ind w:left="-851"/>
        <w:rPr>
          <w:b/>
          <w:sz w:val="28"/>
          <w:szCs w:val="28"/>
        </w:rPr>
      </w:pPr>
    </w:p>
    <w:p w14:paraId="58E24C02" w14:textId="77777777" w:rsidR="00A73FEA" w:rsidRPr="00A73FEA" w:rsidRDefault="00A73FEA" w:rsidP="00A73FEA">
      <w:pPr>
        <w:rPr>
          <w:lang w:eastAsia="en-GB"/>
        </w:rPr>
      </w:pPr>
    </w:p>
    <w:p w14:paraId="79B5D7A9" w14:textId="77777777" w:rsidR="00D53B63" w:rsidRDefault="00D53B63" w:rsidP="00662AA9">
      <w:pPr>
        <w:spacing w:line="240" w:lineRule="auto"/>
        <w:ind w:left="-851"/>
        <w:rPr>
          <w:rFonts w:ascii="Arial" w:eastAsia="Times New Roman" w:hAnsi="Arial" w:cs="Arial"/>
          <w:lang w:eastAsia="en-GB"/>
        </w:rPr>
      </w:pPr>
    </w:p>
    <w:p w14:paraId="36972B2B" w14:textId="7B358D22" w:rsidR="0073196F" w:rsidRPr="00D53B63" w:rsidRDefault="00D53B63" w:rsidP="00D53B63">
      <w:pPr>
        <w:pStyle w:val="Heading2"/>
      </w:pPr>
      <w:bookmarkStart w:id="19" w:name="_2122-0225_Dr._Holly"/>
      <w:bookmarkEnd w:id="19"/>
      <w:r w:rsidRPr="00D53B63">
        <w:lastRenderedPageBreak/>
        <w:t>2122-0225</w:t>
      </w:r>
      <w:r w:rsidRPr="00D53B63">
        <w:tab/>
        <w:t>Dr. Holly Marissa Tibble</w:t>
      </w:r>
    </w:p>
    <w:p w14:paraId="16E5A34E" w14:textId="77777777" w:rsidR="00D53B63" w:rsidRDefault="00D53B63" w:rsidP="00D53B63">
      <w:pPr>
        <w:pStyle w:val="NoSpacing"/>
        <w:rPr>
          <w:b/>
          <w:sz w:val="24"/>
          <w:szCs w:val="24"/>
        </w:rPr>
      </w:pPr>
    </w:p>
    <w:p w14:paraId="33B3FFD8" w14:textId="50EE0244" w:rsidR="00D53B63" w:rsidRDefault="00D53B63" w:rsidP="00D53B63">
      <w:pPr>
        <w:pStyle w:val="NoSpacing"/>
        <w:rPr>
          <w:b/>
          <w:sz w:val="24"/>
          <w:szCs w:val="24"/>
        </w:rPr>
      </w:pPr>
      <w:r w:rsidRPr="00D53B63">
        <w:rPr>
          <w:b/>
          <w:sz w:val="24"/>
          <w:szCs w:val="24"/>
        </w:rPr>
        <w:t>Short-Term Adult Asthma Attack Prediction using Electronic Health Record Data in the Primary Care Setting</w:t>
      </w:r>
    </w:p>
    <w:p w14:paraId="4911D04D" w14:textId="77777777" w:rsidR="00D53B63" w:rsidRDefault="00D53B63" w:rsidP="00D53B63">
      <w:pPr>
        <w:pStyle w:val="NoSpacing"/>
        <w:rPr>
          <w:b/>
          <w:sz w:val="24"/>
          <w:szCs w:val="24"/>
        </w:rPr>
      </w:pPr>
    </w:p>
    <w:p w14:paraId="242B261F" w14:textId="77777777" w:rsidR="00D53B63" w:rsidRDefault="00D53B63" w:rsidP="00D53B63">
      <w:pPr>
        <w:spacing w:line="240" w:lineRule="auto"/>
        <w:jc w:val="center"/>
        <w:rPr>
          <w:b/>
          <w:sz w:val="32"/>
        </w:rPr>
      </w:pPr>
      <w:r>
        <w:rPr>
          <w:b/>
          <w:sz w:val="32"/>
        </w:rPr>
        <w:t>The Public Benefit Impact Summary</w:t>
      </w:r>
    </w:p>
    <w:p w14:paraId="26624503" w14:textId="77777777" w:rsidR="00D53B63" w:rsidRDefault="00D53B63" w:rsidP="00D53B63">
      <w:pPr>
        <w:rPr>
          <w:b/>
        </w:rPr>
      </w:pPr>
    </w:p>
    <w:tbl>
      <w:tblPr>
        <w:tblStyle w:val="TableGrid"/>
        <w:tblW w:w="5000" w:type="pct"/>
        <w:tblLook w:val="04A0" w:firstRow="1" w:lastRow="0" w:firstColumn="1" w:lastColumn="0" w:noHBand="0" w:noVBand="1"/>
      </w:tblPr>
      <w:tblGrid>
        <w:gridCol w:w="339"/>
        <w:gridCol w:w="3359"/>
        <w:gridCol w:w="5318"/>
      </w:tblGrid>
      <w:tr w:rsidR="00D53B63" w14:paraId="57FFDB12"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FE3E16" w14:textId="77777777" w:rsidR="00D53B63" w:rsidRDefault="00D53B63">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A09C19" w14:textId="77777777" w:rsidR="00D53B63" w:rsidRDefault="00D53B63">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913736" w14:textId="77777777" w:rsidR="00D53B63" w:rsidRDefault="00D53B63">
            <w:pPr>
              <w:spacing w:after="200" w:line="276" w:lineRule="auto"/>
              <w:ind w:left="360"/>
              <w:rPr>
                <w:lang w:eastAsia="en-GB"/>
              </w:rPr>
            </w:pPr>
          </w:p>
        </w:tc>
      </w:tr>
      <w:tr w:rsidR="00D53B63" w14:paraId="7D31F7D7" w14:textId="77777777" w:rsidTr="00D53B63">
        <w:trPr>
          <w:trHeight w:hRule="exact" w:val="3491"/>
        </w:trPr>
        <w:tc>
          <w:tcPr>
            <w:tcW w:w="188" w:type="pct"/>
            <w:tcBorders>
              <w:top w:val="single" w:sz="4" w:space="0" w:color="auto"/>
              <w:left w:val="single" w:sz="4" w:space="0" w:color="auto"/>
              <w:bottom w:val="single" w:sz="4" w:space="0" w:color="auto"/>
              <w:right w:val="single" w:sz="4" w:space="0" w:color="auto"/>
            </w:tcBorders>
            <w:vAlign w:val="center"/>
          </w:tcPr>
          <w:p w14:paraId="0D84342F"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3D29F1B" w14:textId="77777777" w:rsidR="00D53B63" w:rsidRDefault="00D53B63">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22E92D7" w14:textId="77777777" w:rsidR="00D53B63" w:rsidRDefault="00D53B63" w:rsidP="00D53B63">
            <w:pPr>
              <w:pStyle w:val="ListParagraph"/>
              <w:numPr>
                <w:ilvl w:val="0"/>
                <w:numId w:val="27"/>
              </w:numPr>
              <w:tabs>
                <w:tab w:val="left" w:pos="720"/>
                <w:tab w:val="left" w:pos="1440"/>
                <w:tab w:val="left" w:pos="2160"/>
                <w:tab w:val="left" w:pos="2880"/>
                <w:tab w:val="left" w:pos="4680"/>
                <w:tab w:val="left" w:pos="5400"/>
                <w:tab w:val="right" w:pos="9000"/>
              </w:tabs>
              <w:spacing w:line="276" w:lineRule="auto"/>
              <w:contextualSpacing w:val="0"/>
              <w:rPr>
                <w:lang w:eastAsia="en-GB"/>
              </w:rPr>
            </w:pPr>
            <w:r>
              <w:rPr>
                <w:lang w:eastAsia="en-GB"/>
              </w:rPr>
              <w:t>To evaluate the different methods of estimating asthma medication adherence, a major risk factor for asthma attacks, in prescribing data</w:t>
            </w:r>
          </w:p>
          <w:p w14:paraId="2FC43F9D" w14:textId="77777777" w:rsidR="00D53B63" w:rsidRDefault="00D53B63" w:rsidP="00D53B63">
            <w:pPr>
              <w:pStyle w:val="ListParagraph"/>
              <w:numPr>
                <w:ilvl w:val="0"/>
                <w:numId w:val="27"/>
              </w:numPr>
              <w:tabs>
                <w:tab w:val="left" w:pos="720"/>
                <w:tab w:val="left" w:pos="1440"/>
                <w:tab w:val="left" w:pos="2160"/>
                <w:tab w:val="left" w:pos="2880"/>
                <w:tab w:val="left" w:pos="4680"/>
                <w:tab w:val="left" w:pos="5400"/>
                <w:tab w:val="right" w:pos="9000"/>
              </w:tabs>
              <w:spacing w:line="276" w:lineRule="auto"/>
              <w:contextualSpacing w:val="0"/>
              <w:rPr>
                <w:lang w:eastAsia="en-GB"/>
              </w:rPr>
            </w:pPr>
            <w:r>
              <w:rPr>
                <w:lang w:eastAsia="en-GB"/>
              </w:rPr>
              <w:t>To estimate the rate of asthma attacks from electronic health records</w:t>
            </w:r>
          </w:p>
          <w:p w14:paraId="16C92708" w14:textId="77777777" w:rsidR="00D53B63" w:rsidRDefault="00D53B63" w:rsidP="00D53B63">
            <w:pPr>
              <w:pStyle w:val="ListParagraph"/>
              <w:numPr>
                <w:ilvl w:val="0"/>
                <w:numId w:val="27"/>
              </w:numPr>
              <w:tabs>
                <w:tab w:val="left" w:pos="720"/>
                <w:tab w:val="left" w:pos="1440"/>
                <w:tab w:val="left" w:pos="2160"/>
                <w:tab w:val="left" w:pos="2880"/>
                <w:tab w:val="left" w:pos="4680"/>
                <w:tab w:val="left" w:pos="5400"/>
                <w:tab w:val="right" w:pos="9000"/>
              </w:tabs>
              <w:spacing w:line="276" w:lineRule="auto"/>
              <w:contextualSpacing w:val="0"/>
              <w:rPr>
                <w:lang w:eastAsia="en-GB"/>
              </w:rPr>
            </w:pPr>
            <w:r>
              <w:rPr>
                <w:lang w:eastAsia="en-GB"/>
              </w:rPr>
              <w:t>To train and appraise a selection of asthma attack risk prediction models in electronic health records</w:t>
            </w:r>
          </w:p>
          <w:p w14:paraId="3DEB0BD6" w14:textId="77777777" w:rsidR="00D53B63" w:rsidRDefault="00D53B63" w:rsidP="00D53B63">
            <w:pPr>
              <w:pStyle w:val="ListParagraph"/>
              <w:numPr>
                <w:ilvl w:val="0"/>
                <w:numId w:val="27"/>
              </w:numPr>
              <w:tabs>
                <w:tab w:val="left" w:pos="720"/>
                <w:tab w:val="left" w:pos="1440"/>
                <w:tab w:val="left" w:pos="2160"/>
                <w:tab w:val="left" w:pos="2880"/>
                <w:tab w:val="left" w:pos="4680"/>
                <w:tab w:val="left" w:pos="5400"/>
                <w:tab w:val="right" w:pos="9000"/>
              </w:tabs>
              <w:spacing w:line="276" w:lineRule="auto"/>
              <w:contextualSpacing w:val="0"/>
              <w:rPr>
                <w:lang w:eastAsia="en-GB"/>
              </w:rPr>
            </w:pPr>
            <w:r>
              <w:rPr>
                <w:lang w:eastAsia="en-GB"/>
              </w:rPr>
              <w:t>To test the final selected risk prediction model in electronic health records</w:t>
            </w:r>
          </w:p>
        </w:tc>
      </w:tr>
      <w:tr w:rsidR="00D53B63" w14:paraId="3F6D4726"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FDF0EA" w14:textId="77777777" w:rsidR="00D53B63" w:rsidRDefault="00D53B63">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0FF396" w14:textId="77777777" w:rsidR="00D53B63" w:rsidRDefault="00D53B63">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008C45" w14:textId="77777777" w:rsidR="00D53B63" w:rsidRDefault="00D53B63">
            <w:pPr>
              <w:spacing w:after="200" w:line="276" w:lineRule="auto"/>
              <w:ind w:left="360"/>
              <w:rPr>
                <w:lang w:eastAsia="en-GB"/>
              </w:rPr>
            </w:pPr>
          </w:p>
          <w:p w14:paraId="0412230D" w14:textId="77777777" w:rsidR="00D53B63" w:rsidRDefault="00D53B63">
            <w:pPr>
              <w:spacing w:after="200" w:line="276" w:lineRule="auto"/>
              <w:rPr>
                <w:lang w:eastAsia="en-GB"/>
              </w:rPr>
            </w:pPr>
          </w:p>
          <w:p w14:paraId="46D75BC6" w14:textId="77777777" w:rsidR="00D53B63" w:rsidRDefault="00D53B63">
            <w:pPr>
              <w:spacing w:after="200" w:line="276" w:lineRule="auto"/>
              <w:rPr>
                <w:lang w:eastAsia="en-GB"/>
              </w:rPr>
            </w:pPr>
          </w:p>
          <w:p w14:paraId="4EE8A1A8" w14:textId="77777777" w:rsidR="00D53B63" w:rsidRDefault="00D53B63">
            <w:pPr>
              <w:spacing w:after="200" w:line="276" w:lineRule="auto"/>
              <w:rPr>
                <w:lang w:eastAsia="en-GB"/>
              </w:rPr>
            </w:pPr>
          </w:p>
          <w:p w14:paraId="4D8E84FE" w14:textId="77777777" w:rsidR="00D53B63" w:rsidRDefault="00D53B63">
            <w:pPr>
              <w:spacing w:after="200" w:line="276" w:lineRule="auto"/>
              <w:rPr>
                <w:lang w:eastAsia="en-GB"/>
              </w:rPr>
            </w:pPr>
          </w:p>
          <w:p w14:paraId="6F90F1BE" w14:textId="77777777" w:rsidR="00D53B63" w:rsidRDefault="00D53B63">
            <w:pPr>
              <w:spacing w:after="200" w:line="276" w:lineRule="auto"/>
              <w:rPr>
                <w:lang w:eastAsia="en-GB"/>
              </w:rPr>
            </w:pPr>
          </w:p>
          <w:p w14:paraId="2696EE53" w14:textId="77777777" w:rsidR="00D53B63" w:rsidRDefault="00D53B63">
            <w:pPr>
              <w:spacing w:after="200" w:line="276" w:lineRule="auto"/>
              <w:rPr>
                <w:lang w:eastAsia="en-GB"/>
              </w:rPr>
            </w:pPr>
          </w:p>
          <w:p w14:paraId="0741BA00" w14:textId="77777777" w:rsidR="00D53B63" w:rsidRDefault="00D53B63">
            <w:pPr>
              <w:spacing w:after="200" w:line="276" w:lineRule="auto"/>
              <w:rPr>
                <w:lang w:eastAsia="en-GB"/>
              </w:rPr>
            </w:pPr>
          </w:p>
          <w:p w14:paraId="7F894F4A" w14:textId="77777777" w:rsidR="00D53B63" w:rsidRDefault="00D53B63">
            <w:pPr>
              <w:spacing w:after="200" w:line="276" w:lineRule="auto"/>
              <w:rPr>
                <w:lang w:eastAsia="en-GB"/>
              </w:rPr>
            </w:pPr>
          </w:p>
          <w:p w14:paraId="51B3BA0D" w14:textId="77777777" w:rsidR="00D53B63" w:rsidRDefault="00D53B63">
            <w:pPr>
              <w:spacing w:after="200" w:line="276" w:lineRule="auto"/>
              <w:rPr>
                <w:lang w:eastAsia="en-GB"/>
              </w:rPr>
            </w:pPr>
          </w:p>
          <w:p w14:paraId="76F55B69" w14:textId="77777777" w:rsidR="00D53B63" w:rsidRDefault="00D53B63">
            <w:pPr>
              <w:spacing w:after="200" w:line="276" w:lineRule="auto"/>
              <w:rPr>
                <w:lang w:eastAsia="en-GB"/>
              </w:rPr>
            </w:pPr>
          </w:p>
          <w:p w14:paraId="3DC0D16B" w14:textId="77777777" w:rsidR="00D53B63" w:rsidRDefault="00D53B63">
            <w:pPr>
              <w:spacing w:after="200" w:line="276" w:lineRule="auto"/>
              <w:rPr>
                <w:lang w:eastAsia="en-GB"/>
              </w:rPr>
            </w:pPr>
          </w:p>
          <w:p w14:paraId="292EBC88" w14:textId="77777777" w:rsidR="00D53B63" w:rsidRDefault="00D53B63">
            <w:pPr>
              <w:spacing w:after="200" w:line="276" w:lineRule="auto"/>
              <w:rPr>
                <w:lang w:eastAsia="en-GB"/>
              </w:rPr>
            </w:pPr>
          </w:p>
          <w:p w14:paraId="01036BE7" w14:textId="77777777" w:rsidR="00D53B63" w:rsidRDefault="00D53B63">
            <w:pPr>
              <w:spacing w:after="200" w:line="276" w:lineRule="auto"/>
              <w:rPr>
                <w:lang w:eastAsia="en-GB"/>
              </w:rPr>
            </w:pPr>
          </w:p>
          <w:p w14:paraId="7B4F1CC2" w14:textId="77777777" w:rsidR="00D53B63" w:rsidRDefault="00D53B63">
            <w:pPr>
              <w:spacing w:after="200" w:line="276" w:lineRule="auto"/>
              <w:rPr>
                <w:lang w:eastAsia="en-GB"/>
              </w:rPr>
            </w:pPr>
          </w:p>
          <w:p w14:paraId="250F4640" w14:textId="77777777" w:rsidR="00D53B63" w:rsidRDefault="00D53B63">
            <w:pPr>
              <w:spacing w:after="200" w:line="276" w:lineRule="auto"/>
              <w:rPr>
                <w:lang w:eastAsia="en-GB"/>
              </w:rPr>
            </w:pPr>
          </w:p>
          <w:p w14:paraId="5606C95C" w14:textId="77777777" w:rsidR="00D53B63" w:rsidRDefault="00D53B63">
            <w:pPr>
              <w:spacing w:after="200" w:line="276" w:lineRule="auto"/>
              <w:rPr>
                <w:lang w:eastAsia="en-GB"/>
              </w:rPr>
            </w:pPr>
          </w:p>
          <w:p w14:paraId="5D67AC88" w14:textId="77777777" w:rsidR="00D53B63" w:rsidRDefault="00D53B63">
            <w:pPr>
              <w:spacing w:after="200" w:line="276" w:lineRule="auto"/>
              <w:rPr>
                <w:lang w:eastAsia="en-GB"/>
              </w:rPr>
            </w:pPr>
          </w:p>
          <w:p w14:paraId="6D52BCA3" w14:textId="77777777" w:rsidR="00D53B63" w:rsidRDefault="00D53B63">
            <w:pPr>
              <w:spacing w:after="200" w:line="276" w:lineRule="auto"/>
              <w:rPr>
                <w:lang w:eastAsia="en-GB"/>
              </w:rPr>
            </w:pPr>
          </w:p>
          <w:p w14:paraId="1A1BB440" w14:textId="77777777" w:rsidR="00D53B63" w:rsidRDefault="00D53B63">
            <w:pPr>
              <w:spacing w:after="200" w:line="276" w:lineRule="auto"/>
              <w:rPr>
                <w:lang w:eastAsia="en-GB"/>
              </w:rPr>
            </w:pPr>
          </w:p>
          <w:p w14:paraId="33DEB89E" w14:textId="77777777" w:rsidR="00D53B63" w:rsidRDefault="00D53B63">
            <w:pPr>
              <w:spacing w:after="200" w:line="276" w:lineRule="auto"/>
              <w:rPr>
                <w:lang w:eastAsia="en-GB"/>
              </w:rPr>
            </w:pPr>
          </w:p>
          <w:p w14:paraId="025D562D" w14:textId="77777777" w:rsidR="00D53B63" w:rsidRDefault="00D53B63">
            <w:pPr>
              <w:spacing w:after="200" w:line="276" w:lineRule="auto"/>
              <w:rPr>
                <w:lang w:eastAsia="en-GB"/>
              </w:rPr>
            </w:pPr>
          </w:p>
          <w:p w14:paraId="51BFA87B" w14:textId="77777777" w:rsidR="00D53B63" w:rsidRDefault="00D53B63">
            <w:pPr>
              <w:spacing w:after="200" w:line="276" w:lineRule="auto"/>
              <w:rPr>
                <w:lang w:eastAsia="en-GB"/>
              </w:rPr>
            </w:pPr>
          </w:p>
          <w:p w14:paraId="40AF5000" w14:textId="77777777" w:rsidR="00D53B63" w:rsidRDefault="00D53B63">
            <w:pPr>
              <w:spacing w:after="200" w:line="276" w:lineRule="auto"/>
              <w:rPr>
                <w:lang w:eastAsia="en-GB"/>
              </w:rPr>
            </w:pPr>
          </w:p>
          <w:p w14:paraId="209CEE43" w14:textId="77777777" w:rsidR="00D53B63" w:rsidRDefault="00D53B63">
            <w:pPr>
              <w:spacing w:after="200" w:line="276" w:lineRule="auto"/>
              <w:rPr>
                <w:lang w:eastAsia="en-GB"/>
              </w:rPr>
            </w:pPr>
          </w:p>
        </w:tc>
      </w:tr>
      <w:tr w:rsidR="00D53B63" w14:paraId="073C4977" w14:textId="77777777" w:rsidTr="00D53B63">
        <w:trPr>
          <w:trHeight w:hRule="exact" w:val="3640"/>
        </w:trPr>
        <w:tc>
          <w:tcPr>
            <w:tcW w:w="188" w:type="pct"/>
            <w:tcBorders>
              <w:top w:val="single" w:sz="4" w:space="0" w:color="auto"/>
              <w:left w:val="single" w:sz="4" w:space="0" w:color="auto"/>
              <w:bottom w:val="single" w:sz="4" w:space="0" w:color="auto"/>
              <w:right w:val="single" w:sz="4" w:space="0" w:color="auto"/>
            </w:tcBorders>
            <w:vAlign w:val="center"/>
          </w:tcPr>
          <w:p w14:paraId="5E4F493B"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2B940C4" w14:textId="77777777" w:rsidR="00D53B63" w:rsidRDefault="00D53B63">
            <w:pPr>
              <w:spacing w:after="200" w:line="276" w:lineRule="auto"/>
              <w:ind w:left="20"/>
              <w:rPr>
                <w:lang w:eastAsia="en-GB"/>
              </w:rPr>
            </w:pPr>
            <w:r>
              <w:rPr>
                <w:lang w:eastAsia="en-GB"/>
              </w:rPr>
              <w:t>How will these outcomes directly result in benefit for the public? Please give details. This should be the main section answered.</w:t>
            </w:r>
          </w:p>
          <w:p w14:paraId="37F65AFF" w14:textId="77777777" w:rsidR="00D53B63" w:rsidRDefault="00D53B63">
            <w:pPr>
              <w:spacing w:after="200" w:line="276" w:lineRule="auto"/>
              <w:ind w:left="20"/>
              <w:rPr>
                <w:lang w:eastAsia="en-GB"/>
              </w:rPr>
            </w:pPr>
          </w:p>
          <w:p w14:paraId="010DC088" w14:textId="77777777" w:rsidR="00D53B63" w:rsidRDefault="00D53B63">
            <w:pPr>
              <w:spacing w:after="200" w:line="276" w:lineRule="auto"/>
              <w:ind w:left="20"/>
              <w:rPr>
                <w:lang w:eastAsia="en-GB"/>
              </w:rPr>
            </w:pPr>
          </w:p>
          <w:p w14:paraId="079FD75C" w14:textId="77777777" w:rsidR="00D53B63" w:rsidRDefault="00D53B63">
            <w:pPr>
              <w:spacing w:after="200" w:line="276" w:lineRule="auto"/>
              <w:ind w:left="20"/>
              <w:rPr>
                <w:lang w:eastAsia="en-GB"/>
              </w:rPr>
            </w:pPr>
          </w:p>
          <w:p w14:paraId="1A158F82" w14:textId="77777777" w:rsidR="00D53B63" w:rsidRDefault="00D53B63">
            <w:pPr>
              <w:spacing w:after="200" w:line="276" w:lineRule="auto"/>
              <w:ind w:left="20"/>
              <w:rPr>
                <w:lang w:eastAsia="en-GB"/>
              </w:rPr>
            </w:pPr>
          </w:p>
          <w:p w14:paraId="482F3E36" w14:textId="77777777" w:rsidR="00D53B63" w:rsidRDefault="00D53B63">
            <w:pPr>
              <w:spacing w:after="200" w:line="276" w:lineRule="auto"/>
              <w:ind w:left="20"/>
              <w:rPr>
                <w:lang w:eastAsia="en-GB"/>
              </w:rPr>
            </w:pPr>
          </w:p>
          <w:p w14:paraId="577286DA" w14:textId="77777777" w:rsidR="00D53B63" w:rsidRDefault="00D53B63">
            <w:pPr>
              <w:spacing w:after="200" w:line="276" w:lineRule="auto"/>
              <w:ind w:left="20"/>
              <w:rPr>
                <w:lang w:eastAsia="en-GB"/>
              </w:rPr>
            </w:pPr>
          </w:p>
          <w:p w14:paraId="5FAC4AA3" w14:textId="77777777" w:rsidR="00D53B63" w:rsidRDefault="00D53B6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FB82933" w14:textId="77777777" w:rsidR="00D53B63" w:rsidRDefault="00D53B63">
            <w:pPr>
              <w:spacing w:line="276" w:lineRule="auto"/>
              <w:rPr>
                <w:rFonts w:ascii="Times New Roman" w:hAnsi="Times New Roman" w:cs="Times New Roman"/>
                <w:sz w:val="24"/>
                <w:szCs w:val="24"/>
              </w:rPr>
            </w:pPr>
            <w:r>
              <w:rPr>
                <w:rFonts w:ascii="Times New Roman" w:hAnsi="Times New Roman" w:cs="Times New Roman"/>
                <w:color w:val="000000" w:themeColor="text1"/>
              </w:rPr>
              <w:t xml:space="preserve">Asthma attacks cause more than 25 deaths per week on average in the UK.   </w:t>
            </w:r>
            <w:r>
              <w:rPr>
                <w:rFonts w:ascii="Times New Roman" w:hAnsi="Times New Roman" w:cs="Times New Roman"/>
              </w:rPr>
              <w:t xml:space="preserve">Primary care consultations provide the opportunity for patients and clinicians to assess changes to asthma attack risk.  Accurate prediction of risk can instigate timely primary care intervention, prompt more frequency primary care visits, promote risk-reducing lifestyle choices, and encourage patients to seek emergency care following symptom deterioration.  Furthermore, highlighting periods when risk is lower can reduce lifetime steroid use and patient anxiety.  </w:t>
            </w:r>
          </w:p>
          <w:p w14:paraId="07118F81" w14:textId="77777777" w:rsidR="00D53B63" w:rsidRDefault="00D53B63">
            <w:pPr>
              <w:spacing w:line="360" w:lineRule="auto"/>
              <w:rPr>
                <w:rFonts w:ascii="Arial" w:hAnsi="Arial" w:cs="Arial"/>
                <w:lang w:eastAsia="en-GB"/>
              </w:rPr>
            </w:pPr>
          </w:p>
          <w:p w14:paraId="47BAF2A6" w14:textId="77777777" w:rsidR="00D53B63" w:rsidRDefault="00D53B63">
            <w:pPr>
              <w:spacing w:line="360" w:lineRule="auto"/>
              <w:rPr>
                <w:lang w:eastAsia="en-GB"/>
              </w:rPr>
            </w:pPr>
          </w:p>
          <w:p w14:paraId="69FB9947" w14:textId="77777777" w:rsidR="00D53B63" w:rsidRDefault="00D53B63">
            <w:pPr>
              <w:spacing w:line="360" w:lineRule="auto"/>
              <w:rPr>
                <w:lang w:eastAsia="en-GB"/>
              </w:rPr>
            </w:pPr>
          </w:p>
          <w:p w14:paraId="743423DD" w14:textId="77777777" w:rsidR="00D53B63" w:rsidRDefault="00D53B63">
            <w:pPr>
              <w:spacing w:line="360" w:lineRule="auto"/>
              <w:rPr>
                <w:lang w:eastAsia="en-GB"/>
              </w:rPr>
            </w:pPr>
          </w:p>
          <w:p w14:paraId="0F50C4C8" w14:textId="77777777" w:rsidR="00D53B63" w:rsidRDefault="00D53B63">
            <w:pPr>
              <w:spacing w:line="360" w:lineRule="auto"/>
              <w:rPr>
                <w:lang w:eastAsia="en-GB"/>
              </w:rPr>
            </w:pPr>
          </w:p>
          <w:p w14:paraId="2899EAEC" w14:textId="77777777" w:rsidR="00D53B63" w:rsidRDefault="00D53B63">
            <w:pPr>
              <w:spacing w:line="360" w:lineRule="auto"/>
              <w:rPr>
                <w:lang w:eastAsia="en-GB"/>
              </w:rPr>
            </w:pPr>
          </w:p>
          <w:p w14:paraId="33D63767" w14:textId="77777777" w:rsidR="00D53B63" w:rsidRDefault="00D53B63">
            <w:pPr>
              <w:spacing w:line="360" w:lineRule="auto"/>
              <w:rPr>
                <w:lang w:eastAsia="en-GB"/>
              </w:rPr>
            </w:pPr>
          </w:p>
          <w:p w14:paraId="3C1831D3" w14:textId="77777777" w:rsidR="00D53B63" w:rsidRDefault="00D53B63">
            <w:pPr>
              <w:spacing w:line="360" w:lineRule="auto"/>
              <w:rPr>
                <w:lang w:eastAsia="en-GB"/>
              </w:rPr>
            </w:pPr>
          </w:p>
        </w:tc>
      </w:tr>
      <w:tr w:rsidR="00D53B63" w14:paraId="668B531F"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DB1D98" w14:textId="77777777" w:rsidR="00D53B63" w:rsidRDefault="00D53B63">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0B0F03" w14:textId="77777777" w:rsidR="00D53B63" w:rsidRDefault="00D53B63">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4BA1CE" w14:textId="77777777" w:rsidR="00D53B63" w:rsidRDefault="00D53B63">
            <w:pPr>
              <w:spacing w:after="200" w:line="276" w:lineRule="auto"/>
              <w:ind w:left="360"/>
              <w:rPr>
                <w:lang w:eastAsia="en-GB"/>
              </w:rPr>
            </w:pPr>
          </w:p>
        </w:tc>
      </w:tr>
      <w:tr w:rsidR="00D53B63" w14:paraId="02EEE6AE" w14:textId="77777777" w:rsidTr="00D53B63">
        <w:trPr>
          <w:trHeight w:hRule="exact" w:val="3968"/>
        </w:trPr>
        <w:tc>
          <w:tcPr>
            <w:tcW w:w="188" w:type="pct"/>
            <w:tcBorders>
              <w:top w:val="single" w:sz="4" w:space="0" w:color="auto"/>
              <w:left w:val="single" w:sz="4" w:space="0" w:color="auto"/>
              <w:bottom w:val="single" w:sz="4" w:space="0" w:color="auto"/>
              <w:right w:val="single" w:sz="4" w:space="0" w:color="auto"/>
            </w:tcBorders>
            <w:vAlign w:val="center"/>
          </w:tcPr>
          <w:p w14:paraId="0A00ACB3"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6EDF9BC" w14:textId="77777777" w:rsidR="00D53B63" w:rsidRDefault="00D53B63">
            <w:pPr>
              <w:spacing w:after="200" w:line="276" w:lineRule="auto"/>
              <w:ind w:left="20"/>
              <w:rPr>
                <w:lang w:eastAsia="en-GB"/>
              </w:rPr>
            </w:pPr>
            <w:r>
              <w:rPr>
                <w:lang w:eastAsia="en-GB"/>
              </w:rPr>
              <w:t xml:space="preserve">What data were received/processed/collected? </w:t>
            </w:r>
          </w:p>
          <w:p w14:paraId="02928FAC" w14:textId="77777777" w:rsidR="00D53B63" w:rsidRDefault="00D53B63">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4B9E5BF3" w14:textId="77777777" w:rsidR="00D53B63" w:rsidRDefault="00D53B63">
            <w:pPr>
              <w:rPr>
                <w:sz w:val="24"/>
                <w:szCs w:val="24"/>
              </w:rPr>
            </w:pPr>
            <w:r>
              <w:t>The study recruited over half a million patients from 75 general practices in Scotland, with primary care records linked to national A&amp;E, hospital, and mortality datasets.</w:t>
            </w:r>
          </w:p>
          <w:p w14:paraId="153A6867" w14:textId="77777777" w:rsidR="00D53B63" w:rsidRDefault="00D53B63"/>
          <w:p w14:paraId="7CC3E9D7" w14:textId="77777777" w:rsidR="00D53B63" w:rsidRDefault="00D53B63">
            <w:r>
              <w:t xml:space="preserve">The primary care prescription data was of very high quality – including the dose direction notes from the GP which enabled estimation of adherence not possible in other UK datasets.  However, as is the current status quo, there was no free-text doctor’s notes available, which capture a substantial amount of information which is never translated into coded records. </w:t>
            </w:r>
          </w:p>
        </w:tc>
      </w:tr>
      <w:tr w:rsidR="00D53B63" w14:paraId="19BD669E"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144135" w14:textId="77777777" w:rsidR="00D53B63" w:rsidRDefault="00D53B63">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16573C" w14:textId="77777777" w:rsidR="00D53B63" w:rsidRDefault="00D53B63">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1D867E" w14:textId="77777777" w:rsidR="00D53B63" w:rsidRDefault="00D53B63">
            <w:pPr>
              <w:spacing w:after="200" w:line="276" w:lineRule="auto"/>
              <w:ind w:left="360"/>
              <w:rPr>
                <w:lang w:eastAsia="en-GB"/>
              </w:rPr>
            </w:pPr>
          </w:p>
        </w:tc>
      </w:tr>
      <w:tr w:rsidR="00D53B63" w14:paraId="0A740C1E" w14:textId="77777777" w:rsidTr="00D53B63">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21682E2"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4A7D685" w14:textId="77777777" w:rsidR="00D53B63" w:rsidRDefault="00D53B63">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5DD6B8F" w14:textId="77777777" w:rsidR="00D53B63" w:rsidRDefault="00D53B63">
            <w:pPr>
              <w:spacing w:line="360" w:lineRule="auto"/>
              <w:rPr>
                <w:lang w:eastAsia="en-GB"/>
              </w:rPr>
            </w:pPr>
            <w:r>
              <w:rPr>
                <w:lang w:eastAsia="en-GB"/>
              </w:rPr>
              <w:t>No new data collected</w:t>
            </w:r>
          </w:p>
        </w:tc>
      </w:tr>
      <w:tr w:rsidR="00D53B63" w14:paraId="06C5BAFD" w14:textId="77777777" w:rsidTr="00D53B63">
        <w:trPr>
          <w:trHeight w:hRule="exact" w:val="5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19319" w14:textId="77777777" w:rsidR="00D53B63" w:rsidRDefault="00D53B6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474E266" w14:textId="77777777" w:rsidR="00D53B63" w:rsidRDefault="00D53B63">
            <w:pPr>
              <w:spacing w:after="200" w:line="276" w:lineRule="auto"/>
              <w:ind w:left="20"/>
              <w:rPr>
                <w:lang w:eastAsia="en-GB"/>
              </w:rPr>
            </w:pPr>
            <w:r>
              <w:rPr>
                <w:lang w:eastAsia="en-GB"/>
              </w:rPr>
              <w:t xml:space="preserve">How did you process the data? </w:t>
            </w:r>
          </w:p>
          <w:p w14:paraId="231E455D" w14:textId="77777777" w:rsidR="00D53B63" w:rsidRDefault="00D53B6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B57C040" w14:textId="77777777" w:rsidR="00D53B63" w:rsidRDefault="00D53B63">
            <w:pPr>
              <w:spacing w:after="200" w:line="276" w:lineRule="auto"/>
              <w:ind w:left="20"/>
              <w:rPr>
                <w:lang w:eastAsia="en-GB"/>
              </w:rPr>
            </w:pPr>
            <w:r>
              <w:t>The analysis population for this study was adults (aged 18 and over) with at least one eligible primary care consultation related to either asthma or respiratory infection during their follow-up. Eligible i</w:t>
            </w:r>
            <w:r>
              <w:rPr>
                <w:lang w:eastAsia="en-GB"/>
              </w:rPr>
              <w:t xml:space="preserve">ndividuals (psuedoanonymised) were identified from the primary care data, and then their A&amp;E, inpatient admissions, and mortality records were linked.  </w:t>
            </w:r>
          </w:p>
          <w:p w14:paraId="50772B52" w14:textId="77777777" w:rsidR="00D53B63" w:rsidRDefault="00D53B63">
            <w:pPr>
              <w:spacing w:after="200" w:line="276" w:lineRule="auto"/>
              <w:rPr>
                <w:lang w:eastAsia="en-GB"/>
              </w:rPr>
            </w:pPr>
            <w:r>
              <w:rPr>
                <w:lang w:eastAsia="en-GB"/>
              </w:rPr>
              <w:t xml:space="preserve">The final analysis dataset was structured with each </w:t>
            </w:r>
            <w:r>
              <w:t xml:space="preserve">observation as a day on which a primary care encounter </w:t>
            </w:r>
            <w:r>
              <w:rPr>
                <w:color w:val="000000"/>
              </w:rPr>
              <w:t xml:space="preserve">for asthma (diagnosis, management, or monitoring) or respiratory infections </w:t>
            </w:r>
            <w:r>
              <w:t>occurred for each member of the study population, without a steroid prescription or secondary care asthma encounter</w:t>
            </w:r>
            <w:r>
              <w:rPr>
                <w:color w:val="000000"/>
              </w:rPr>
              <w:t xml:space="preserve">.   The columns of the dataset were their clinical features as of that date, including demographics, prescriptions, lung function, and more. </w:t>
            </w:r>
          </w:p>
        </w:tc>
      </w:tr>
      <w:tr w:rsidR="00D53B63" w14:paraId="51A12B80" w14:textId="77777777" w:rsidTr="00D53B63">
        <w:trPr>
          <w:trHeight w:hRule="exact" w:val="2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33959" w14:textId="77777777" w:rsidR="00D53B63" w:rsidRDefault="00D53B6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2DC0970" w14:textId="77777777" w:rsidR="00D53B63" w:rsidRDefault="00D53B63">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E62DC11" w14:textId="77777777" w:rsidR="00D53B63" w:rsidRDefault="00D53B63">
            <w:pPr>
              <w:spacing w:line="360" w:lineRule="auto"/>
              <w:rPr>
                <w:lang w:eastAsia="en-GB"/>
              </w:rPr>
            </w:pPr>
            <w:r>
              <w:rPr>
                <w:lang w:eastAsia="en-GB"/>
              </w:rPr>
              <w:t xml:space="preserve">No raw data was removed from the safe environment.  Any analyses, figures, or summary tables which were released from the safe environment were aggregated to minimise the risk of confidentiality disclosure. </w:t>
            </w:r>
          </w:p>
        </w:tc>
      </w:tr>
      <w:tr w:rsidR="00D53B63" w14:paraId="4D557CCC" w14:textId="77777777" w:rsidTr="00D53B63">
        <w:trPr>
          <w:trHeight w:hRule="exact" w:val="18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EB79A" w14:textId="77777777" w:rsidR="00D53B63" w:rsidRDefault="00D53B6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2A64A36" w14:textId="77777777" w:rsidR="00D53B63" w:rsidRDefault="00D53B63">
            <w:pPr>
              <w:spacing w:after="200" w:line="276" w:lineRule="auto"/>
              <w:ind w:left="20"/>
              <w:rPr>
                <w:lang w:eastAsia="en-GB"/>
              </w:rPr>
            </w:pPr>
            <w:r>
              <w:rPr>
                <w:lang w:eastAsia="en-GB"/>
              </w:rPr>
              <w:t>Did your study scope change from its original aims? Please give brief details.</w:t>
            </w:r>
          </w:p>
          <w:p w14:paraId="2079ED75" w14:textId="77777777" w:rsidR="00D53B63" w:rsidRDefault="00D53B6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097744E" w14:textId="77777777" w:rsidR="00D53B63" w:rsidRDefault="00D53B63">
            <w:pPr>
              <w:spacing w:line="360" w:lineRule="auto"/>
              <w:rPr>
                <w:lang w:eastAsia="en-GB"/>
              </w:rPr>
            </w:pPr>
            <w:r>
              <w:rPr>
                <w:lang w:eastAsia="en-GB"/>
              </w:rPr>
              <w:t xml:space="preserve">No, although the analysis of the prescribing data took a lot longer than expected due to the complexity of the data, and became a substantive research component in its own right. </w:t>
            </w:r>
          </w:p>
        </w:tc>
      </w:tr>
      <w:tr w:rsidR="00D53B63" w14:paraId="28867D8B"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A17B3F" w14:textId="77777777" w:rsidR="00D53B63" w:rsidRDefault="00D53B63">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01FCB9" w14:textId="77777777" w:rsidR="00D53B63" w:rsidRDefault="00D53B63">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492111" w14:textId="77777777" w:rsidR="00D53B63" w:rsidRDefault="00D53B63">
            <w:pPr>
              <w:spacing w:after="200" w:line="276" w:lineRule="auto"/>
              <w:ind w:left="360"/>
              <w:rPr>
                <w:lang w:eastAsia="en-GB"/>
              </w:rPr>
            </w:pPr>
          </w:p>
        </w:tc>
      </w:tr>
      <w:tr w:rsidR="00D53B63" w14:paraId="6D91ED38" w14:textId="77777777" w:rsidTr="00D53B63">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A8AF46B"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FCF8C2E" w14:textId="77777777" w:rsidR="00D53B63" w:rsidRDefault="00D53B63">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8419C59" w14:textId="77777777" w:rsidR="00D53B63" w:rsidRDefault="00D53B63">
            <w:pPr>
              <w:spacing w:line="360" w:lineRule="auto"/>
              <w:rPr>
                <w:lang w:eastAsia="en-GB"/>
              </w:rPr>
            </w:pPr>
            <w:r>
              <w:rPr>
                <w:lang w:eastAsia="en-GB"/>
              </w:rPr>
              <w:t xml:space="preserve">This study has had two main outcomes. </w:t>
            </w:r>
          </w:p>
          <w:p w14:paraId="3817E1CB" w14:textId="77777777" w:rsidR="00D53B63" w:rsidRDefault="00D53B63">
            <w:pPr>
              <w:spacing w:line="360" w:lineRule="auto"/>
              <w:rPr>
                <w:lang w:eastAsia="en-GB"/>
              </w:rPr>
            </w:pPr>
            <w:r>
              <w:rPr>
                <w:lang w:eastAsia="en-GB"/>
              </w:rPr>
              <w:t xml:space="preserve">Firstly, we have created a set of analytic tools for using prescribing data, including comprehensive open-source R scripts. </w:t>
            </w:r>
          </w:p>
          <w:p w14:paraId="073DEBF6" w14:textId="77777777" w:rsidR="00D53B63" w:rsidRDefault="00D53B63">
            <w:pPr>
              <w:spacing w:line="360" w:lineRule="auto"/>
              <w:rPr>
                <w:lang w:eastAsia="en-GB"/>
              </w:rPr>
            </w:pPr>
            <w:r>
              <w:rPr>
                <w:lang w:eastAsia="en-GB"/>
              </w:rPr>
              <w:t xml:space="preserve">Secondly, it has contributed towards our understanding of asthma attack prediction in primary care, including important model features for different prediction time windows, and best practices for modelling.  </w:t>
            </w:r>
          </w:p>
        </w:tc>
      </w:tr>
      <w:tr w:rsidR="00D53B63" w14:paraId="7941FE04"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4667AC" w14:textId="77777777" w:rsidR="00D53B63" w:rsidRDefault="00D53B63">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03DB5F" w14:textId="77777777" w:rsidR="00D53B63" w:rsidRDefault="00D53B63">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039397" w14:textId="77777777" w:rsidR="00D53B63" w:rsidRDefault="00D53B63">
            <w:pPr>
              <w:spacing w:after="200" w:line="276" w:lineRule="auto"/>
              <w:ind w:left="360"/>
              <w:rPr>
                <w:lang w:eastAsia="en-GB"/>
              </w:rPr>
            </w:pPr>
          </w:p>
        </w:tc>
      </w:tr>
      <w:tr w:rsidR="00D53B63" w14:paraId="29AD105F" w14:textId="77777777" w:rsidTr="00D53B63">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3BACA73"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F5864D" w14:textId="77777777" w:rsidR="00D53B63" w:rsidRDefault="00D53B63">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92E20CC" w14:textId="77777777" w:rsidR="00D53B63" w:rsidRDefault="00D53B63">
            <w:pPr>
              <w:spacing w:line="360" w:lineRule="auto"/>
              <w:rPr>
                <w:lang w:eastAsia="en-GB"/>
              </w:rPr>
            </w:pPr>
            <w:r>
              <w:rPr>
                <w:lang w:eastAsia="en-GB"/>
              </w:rPr>
              <w:t xml:space="preserve">Dissemination of the results to key partners, including patients, funders, and clinicians, has prompted a new collaboration towards joint decision making and co-design of new prediction modelling software. </w:t>
            </w:r>
          </w:p>
        </w:tc>
      </w:tr>
    </w:tbl>
    <w:p w14:paraId="6F59D351" w14:textId="77777777" w:rsidR="00D53B63" w:rsidRDefault="00D53B63" w:rsidP="00D53B63">
      <w:pPr>
        <w:spacing w:line="240" w:lineRule="auto"/>
        <w:ind w:left="-851"/>
        <w:rPr>
          <w:rFonts w:ascii="Arial" w:eastAsia="Times New Roman" w:hAnsi="Arial" w:cs="Arial"/>
          <w:lang w:eastAsia="en-GB"/>
        </w:rPr>
      </w:pPr>
    </w:p>
    <w:p w14:paraId="640CBD37" w14:textId="77777777" w:rsidR="00D53B63" w:rsidRDefault="00D53B63" w:rsidP="00D53B63">
      <w:pPr>
        <w:spacing w:line="240" w:lineRule="auto"/>
        <w:ind w:left="-851"/>
        <w:rPr>
          <w:b/>
          <w:sz w:val="28"/>
          <w:szCs w:val="28"/>
        </w:rPr>
      </w:pPr>
    </w:p>
    <w:p w14:paraId="46746DAD" w14:textId="77777777" w:rsidR="00D53B63" w:rsidRPr="00BF5E0A" w:rsidRDefault="00D53B63" w:rsidP="00D53B63">
      <w:pPr>
        <w:pStyle w:val="NoSpacing"/>
        <w:rPr>
          <w:b/>
          <w:sz w:val="24"/>
          <w:szCs w:val="24"/>
        </w:rPr>
      </w:pPr>
    </w:p>
    <w:sectPr w:rsidR="00D53B63" w:rsidRPr="00BF5E0A"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FA15" w14:textId="77777777" w:rsidR="00D35112" w:rsidRDefault="00D35112" w:rsidP="00410801">
      <w:pPr>
        <w:spacing w:after="0" w:line="240" w:lineRule="auto"/>
      </w:pPr>
      <w:r>
        <w:separator/>
      </w:r>
    </w:p>
  </w:endnote>
  <w:endnote w:type="continuationSeparator" w:id="0">
    <w:p w14:paraId="2E27B0E6" w14:textId="77777777" w:rsidR="00D35112" w:rsidRDefault="00D35112"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E057" w14:textId="77777777" w:rsidR="00D35112" w:rsidRDefault="00D35112" w:rsidP="00410801">
      <w:pPr>
        <w:spacing w:after="0" w:line="240" w:lineRule="auto"/>
      </w:pPr>
      <w:r>
        <w:separator/>
      </w:r>
    </w:p>
  </w:footnote>
  <w:footnote w:type="continuationSeparator" w:id="0">
    <w:p w14:paraId="17476CD1" w14:textId="77777777" w:rsidR="00D35112" w:rsidRDefault="00D35112"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1B2B39"/>
    <w:multiLevelType w:val="hybridMultilevel"/>
    <w:tmpl w:val="D7101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8"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2"/>
  </w:num>
  <w:num w:numId="2" w16cid:durableId="2014259173">
    <w:abstractNumId w:val="15"/>
  </w:num>
  <w:num w:numId="3" w16cid:durableId="1593122341">
    <w:abstractNumId w:val="23"/>
  </w:num>
  <w:num w:numId="4" w16cid:durableId="170680347">
    <w:abstractNumId w:val="10"/>
  </w:num>
  <w:num w:numId="5" w16cid:durableId="217976667">
    <w:abstractNumId w:val="1"/>
  </w:num>
  <w:num w:numId="6" w16cid:durableId="1263802586">
    <w:abstractNumId w:val="4"/>
  </w:num>
  <w:num w:numId="7" w16cid:durableId="1346639340">
    <w:abstractNumId w:val="18"/>
  </w:num>
  <w:num w:numId="8" w16cid:durableId="1285576714">
    <w:abstractNumId w:val="8"/>
  </w:num>
  <w:num w:numId="9" w16cid:durableId="542643113">
    <w:abstractNumId w:val="17"/>
  </w:num>
  <w:num w:numId="10" w16cid:durableId="1145970467">
    <w:abstractNumId w:val="20"/>
  </w:num>
  <w:num w:numId="11" w16cid:durableId="2055810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2"/>
  </w:num>
  <w:num w:numId="15" w16cid:durableId="629288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6"/>
  </w:num>
  <w:num w:numId="18" w16cid:durableId="608049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4"/>
  </w:num>
  <w:num w:numId="21" w16cid:durableId="136991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5"/>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9"/>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3"/>
  </w:num>
  <w:num w:numId="26" w16cid:durableId="509491037">
    <w:abstractNumId w:val="5"/>
  </w:num>
  <w:num w:numId="27" w16cid:durableId="924340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0713C"/>
    <w:rsid w:val="000115C2"/>
    <w:rsid w:val="00017515"/>
    <w:rsid w:val="00024D24"/>
    <w:rsid w:val="00032A3E"/>
    <w:rsid w:val="00043D24"/>
    <w:rsid w:val="00052708"/>
    <w:rsid w:val="0005323D"/>
    <w:rsid w:val="00053BAF"/>
    <w:rsid w:val="00055709"/>
    <w:rsid w:val="00060E3A"/>
    <w:rsid w:val="0006168B"/>
    <w:rsid w:val="000645D6"/>
    <w:rsid w:val="00067C26"/>
    <w:rsid w:val="00093308"/>
    <w:rsid w:val="000955C6"/>
    <w:rsid w:val="000A5A98"/>
    <w:rsid w:val="000B3A37"/>
    <w:rsid w:val="000C02A3"/>
    <w:rsid w:val="000C06BF"/>
    <w:rsid w:val="000D032D"/>
    <w:rsid w:val="000D0C7B"/>
    <w:rsid w:val="000D27D4"/>
    <w:rsid w:val="000D4392"/>
    <w:rsid w:val="000F5F53"/>
    <w:rsid w:val="000F7240"/>
    <w:rsid w:val="00104E85"/>
    <w:rsid w:val="00106733"/>
    <w:rsid w:val="001120DB"/>
    <w:rsid w:val="00112A07"/>
    <w:rsid w:val="00120BC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62D3"/>
    <w:rsid w:val="0024529C"/>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C36BB"/>
    <w:rsid w:val="002C6CF2"/>
    <w:rsid w:val="002D0A7A"/>
    <w:rsid w:val="002D545D"/>
    <w:rsid w:val="002F01E9"/>
    <w:rsid w:val="002F3E16"/>
    <w:rsid w:val="00302CC9"/>
    <w:rsid w:val="00304A31"/>
    <w:rsid w:val="003067F5"/>
    <w:rsid w:val="00306B5C"/>
    <w:rsid w:val="00307DCE"/>
    <w:rsid w:val="00313D84"/>
    <w:rsid w:val="0032216E"/>
    <w:rsid w:val="00326CF4"/>
    <w:rsid w:val="00327D27"/>
    <w:rsid w:val="00333FC2"/>
    <w:rsid w:val="003343BF"/>
    <w:rsid w:val="00342F90"/>
    <w:rsid w:val="003528B8"/>
    <w:rsid w:val="003550CC"/>
    <w:rsid w:val="0036010E"/>
    <w:rsid w:val="00360BC9"/>
    <w:rsid w:val="00361195"/>
    <w:rsid w:val="0037088B"/>
    <w:rsid w:val="00371F0C"/>
    <w:rsid w:val="0037465D"/>
    <w:rsid w:val="00380FA9"/>
    <w:rsid w:val="0038179E"/>
    <w:rsid w:val="00386835"/>
    <w:rsid w:val="003872ED"/>
    <w:rsid w:val="003900BD"/>
    <w:rsid w:val="00391AE7"/>
    <w:rsid w:val="003A7173"/>
    <w:rsid w:val="003A7944"/>
    <w:rsid w:val="003A79DA"/>
    <w:rsid w:val="003B1482"/>
    <w:rsid w:val="003B5B15"/>
    <w:rsid w:val="003B752F"/>
    <w:rsid w:val="003D0CD3"/>
    <w:rsid w:val="003D59E3"/>
    <w:rsid w:val="003E6190"/>
    <w:rsid w:val="003E6F49"/>
    <w:rsid w:val="003E76B6"/>
    <w:rsid w:val="003F0B79"/>
    <w:rsid w:val="003F12BC"/>
    <w:rsid w:val="003F2B97"/>
    <w:rsid w:val="00404D62"/>
    <w:rsid w:val="00410312"/>
    <w:rsid w:val="00410801"/>
    <w:rsid w:val="00411262"/>
    <w:rsid w:val="00416CE1"/>
    <w:rsid w:val="00423CDE"/>
    <w:rsid w:val="00425830"/>
    <w:rsid w:val="0043042D"/>
    <w:rsid w:val="00430FBE"/>
    <w:rsid w:val="00437DAB"/>
    <w:rsid w:val="004514EE"/>
    <w:rsid w:val="0045586D"/>
    <w:rsid w:val="004958F2"/>
    <w:rsid w:val="004A1E7F"/>
    <w:rsid w:val="004B46E7"/>
    <w:rsid w:val="004B53D4"/>
    <w:rsid w:val="004C1F01"/>
    <w:rsid w:val="004C6789"/>
    <w:rsid w:val="004D18CA"/>
    <w:rsid w:val="004D2EF3"/>
    <w:rsid w:val="004D44AA"/>
    <w:rsid w:val="004D6C46"/>
    <w:rsid w:val="004E30F6"/>
    <w:rsid w:val="004F143F"/>
    <w:rsid w:val="004F3955"/>
    <w:rsid w:val="00502D30"/>
    <w:rsid w:val="00511858"/>
    <w:rsid w:val="005136EB"/>
    <w:rsid w:val="00527975"/>
    <w:rsid w:val="00536CC4"/>
    <w:rsid w:val="00541486"/>
    <w:rsid w:val="00544C4A"/>
    <w:rsid w:val="00552C0D"/>
    <w:rsid w:val="00562344"/>
    <w:rsid w:val="00567D07"/>
    <w:rsid w:val="00571360"/>
    <w:rsid w:val="00572963"/>
    <w:rsid w:val="00572B3D"/>
    <w:rsid w:val="0057795A"/>
    <w:rsid w:val="00582277"/>
    <w:rsid w:val="005849C9"/>
    <w:rsid w:val="005947CF"/>
    <w:rsid w:val="00596EE5"/>
    <w:rsid w:val="0059735E"/>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71D6"/>
    <w:rsid w:val="0064745A"/>
    <w:rsid w:val="00651682"/>
    <w:rsid w:val="006560F0"/>
    <w:rsid w:val="006569B6"/>
    <w:rsid w:val="00662AA9"/>
    <w:rsid w:val="00663381"/>
    <w:rsid w:val="00667E7A"/>
    <w:rsid w:val="00671D3E"/>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5FDA"/>
    <w:rsid w:val="006F104F"/>
    <w:rsid w:val="006F3486"/>
    <w:rsid w:val="006F5AB9"/>
    <w:rsid w:val="006F5BEA"/>
    <w:rsid w:val="006F657A"/>
    <w:rsid w:val="006F66AA"/>
    <w:rsid w:val="00702C87"/>
    <w:rsid w:val="007113D9"/>
    <w:rsid w:val="007177DB"/>
    <w:rsid w:val="0073113C"/>
    <w:rsid w:val="0073196F"/>
    <w:rsid w:val="00731A82"/>
    <w:rsid w:val="00737C05"/>
    <w:rsid w:val="00742CFA"/>
    <w:rsid w:val="00744895"/>
    <w:rsid w:val="00751714"/>
    <w:rsid w:val="007559C1"/>
    <w:rsid w:val="0075727B"/>
    <w:rsid w:val="00761B17"/>
    <w:rsid w:val="00763C0B"/>
    <w:rsid w:val="00765712"/>
    <w:rsid w:val="00767FBC"/>
    <w:rsid w:val="00772E09"/>
    <w:rsid w:val="00776BB6"/>
    <w:rsid w:val="00776D76"/>
    <w:rsid w:val="0077773A"/>
    <w:rsid w:val="00782490"/>
    <w:rsid w:val="007A1413"/>
    <w:rsid w:val="007B3A82"/>
    <w:rsid w:val="007C79A5"/>
    <w:rsid w:val="007D2FEB"/>
    <w:rsid w:val="007D3CCA"/>
    <w:rsid w:val="007D7138"/>
    <w:rsid w:val="007E1D3C"/>
    <w:rsid w:val="007E4206"/>
    <w:rsid w:val="007F2443"/>
    <w:rsid w:val="00807E24"/>
    <w:rsid w:val="008174F4"/>
    <w:rsid w:val="008176F7"/>
    <w:rsid w:val="00823B34"/>
    <w:rsid w:val="00826AE1"/>
    <w:rsid w:val="00831D14"/>
    <w:rsid w:val="00831D8F"/>
    <w:rsid w:val="00835C24"/>
    <w:rsid w:val="0083608E"/>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6776C"/>
    <w:rsid w:val="009702FB"/>
    <w:rsid w:val="00970DDA"/>
    <w:rsid w:val="009717E5"/>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3FEA"/>
    <w:rsid w:val="00A74999"/>
    <w:rsid w:val="00A834BA"/>
    <w:rsid w:val="00A851D0"/>
    <w:rsid w:val="00A8711D"/>
    <w:rsid w:val="00A91506"/>
    <w:rsid w:val="00A93953"/>
    <w:rsid w:val="00A95DE8"/>
    <w:rsid w:val="00AA291E"/>
    <w:rsid w:val="00AA465B"/>
    <w:rsid w:val="00AB1D20"/>
    <w:rsid w:val="00AB4098"/>
    <w:rsid w:val="00AB41EA"/>
    <w:rsid w:val="00AB4B24"/>
    <w:rsid w:val="00AC1807"/>
    <w:rsid w:val="00AC2AC2"/>
    <w:rsid w:val="00AC2AF2"/>
    <w:rsid w:val="00AC30C0"/>
    <w:rsid w:val="00AC38A0"/>
    <w:rsid w:val="00AC5124"/>
    <w:rsid w:val="00AC72CA"/>
    <w:rsid w:val="00AD26CE"/>
    <w:rsid w:val="00AE6C9E"/>
    <w:rsid w:val="00AF09B3"/>
    <w:rsid w:val="00AF194C"/>
    <w:rsid w:val="00B0102A"/>
    <w:rsid w:val="00B067C0"/>
    <w:rsid w:val="00B27F0C"/>
    <w:rsid w:val="00B329A1"/>
    <w:rsid w:val="00B32B4C"/>
    <w:rsid w:val="00B33D1D"/>
    <w:rsid w:val="00B34649"/>
    <w:rsid w:val="00B35D3C"/>
    <w:rsid w:val="00B3693C"/>
    <w:rsid w:val="00B43549"/>
    <w:rsid w:val="00B50C14"/>
    <w:rsid w:val="00B53425"/>
    <w:rsid w:val="00B547EA"/>
    <w:rsid w:val="00B56A2B"/>
    <w:rsid w:val="00B56D7C"/>
    <w:rsid w:val="00B64F5C"/>
    <w:rsid w:val="00B6552C"/>
    <w:rsid w:val="00B81389"/>
    <w:rsid w:val="00B83560"/>
    <w:rsid w:val="00B85AA3"/>
    <w:rsid w:val="00B86E7B"/>
    <w:rsid w:val="00B969A7"/>
    <w:rsid w:val="00BA7F6F"/>
    <w:rsid w:val="00BB03F7"/>
    <w:rsid w:val="00BB6DEC"/>
    <w:rsid w:val="00BB7FA1"/>
    <w:rsid w:val="00BC568B"/>
    <w:rsid w:val="00BD0FFE"/>
    <w:rsid w:val="00BD222D"/>
    <w:rsid w:val="00BD499F"/>
    <w:rsid w:val="00BE14CD"/>
    <w:rsid w:val="00BF5E0A"/>
    <w:rsid w:val="00BF6803"/>
    <w:rsid w:val="00C1139C"/>
    <w:rsid w:val="00C17110"/>
    <w:rsid w:val="00C24A8E"/>
    <w:rsid w:val="00C25B4C"/>
    <w:rsid w:val="00C27A3C"/>
    <w:rsid w:val="00C30344"/>
    <w:rsid w:val="00C33742"/>
    <w:rsid w:val="00C34C26"/>
    <w:rsid w:val="00C35353"/>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7532"/>
    <w:rsid w:val="00C97585"/>
    <w:rsid w:val="00CB78B3"/>
    <w:rsid w:val="00CC4BE0"/>
    <w:rsid w:val="00CD05B8"/>
    <w:rsid w:val="00CD1FF2"/>
    <w:rsid w:val="00CE4D0E"/>
    <w:rsid w:val="00CF4479"/>
    <w:rsid w:val="00CF5C92"/>
    <w:rsid w:val="00D062DB"/>
    <w:rsid w:val="00D06670"/>
    <w:rsid w:val="00D110D9"/>
    <w:rsid w:val="00D114E0"/>
    <w:rsid w:val="00D14FC1"/>
    <w:rsid w:val="00D17612"/>
    <w:rsid w:val="00D205E8"/>
    <w:rsid w:val="00D3041B"/>
    <w:rsid w:val="00D34257"/>
    <w:rsid w:val="00D348DA"/>
    <w:rsid w:val="00D35112"/>
    <w:rsid w:val="00D37482"/>
    <w:rsid w:val="00D40CCC"/>
    <w:rsid w:val="00D47ABF"/>
    <w:rsid w:val="00D53B63"/>
    <w:rsid w:val="00D54FE6"/>
    <w:rsid w:val="00D63F33"/>
    <w:rsid w:val="00D64756"/>
    <w:rsid w:val="00D649D0"/>
    <w:rsid w:val="00D86D6C"/>
    <w:rsid w:val="00D86E8A"/>
    <w:rsid w:val="00D90CDB"/>
    <w:rsid w:val="00D947E7"/>
    <w:rsid w:val="00DB12C0"/>
    <w:rsid w:val="00DC162C"/>
    <w:rsid w:val="00DC1B52"/>
    <w:rsid w:val="00DC468B"/>
    <w:rsid w:val="00DD30E0"/>
    <w:rsid w:val="00DD34B7"/>
    <w:rsid w:val="00DE3865"/>
    <w:rsid w:val="00DE6721"/>
    <w:rsid w:val="00DF5237"/>
    <w:rsid w:val="00E028FE"/>
    <w:rsid w:val="00E05567"/>
    <w:rsid w:val="00E05849"/>
    <w:rsid w:val="00E10E41"/>
    <w:rsid w:val="00E125B7"/>
    <w:rsid w:val="00E23825"/>
    <w:rsid w:val="00E27609"/>
    <w:rsid w:val="00E31A28"/>
    <w:rsid w:val="00E33905"/>
    <w:rsid w:val="00E361CD"/>
    <w:rsid w:val="00E3692C"/>
    <w:rsid w:val="00E36AAF"/>
    <w:rsid w:val="00E404E8"/>
    <w:rsid w:val="00E41077"/>
    <w:rsid w:val="00E465D5"/>
    <w:rsid w:val="00E50402"/>
    <w:rsid w:val="00E505F5"/>
    <w:rsid w:val="00E52EFF"/>
    <w:rsid w:val="00E6116B"/>
    <w:rsid w:val="00E75938"/>
    <w:rsid w:val="00E8156A"/>
    <w:rsid w:val="00E86F07"/>
    <w:rsid w:val="00E875D9"/>
    <w:rsid w:val="00E961FE"/>
    <w:rsid w:val="00E97691"/>
    <w:rsid w:val="00EA0DB8"/>
    <w:rsid w:val="00EA4A1B"/>
    <w:rsid w:val="00EA7A68"/>
    <w:rsid w:val="00EC7F8B"/>
    <w:rsid w:val="00ED2256"/>
    <w:rsid w:val="00ED2A2D"/>
    <w:rsid w:val="00ED48E4"/>
    <w:rsid w:val="00ED7036"/>
    <w:rsid w:val="00EE12EA"/>
    <w:rsid w:val="00EE1BCE"/>
    <w:rsid w:val="00EE54ED"/>
    <w:rsid w:val="00EE5D24"/>
    <w:rsid w:val="00EE68DF"/>
    <w:rsid w:val="00EF28E5"/>
    <w:rsid w:val="00EF6BA5"/>
    <w:rsid w:val="00EF7134"/>
    <w:rsid w:val="00EF7C9D"/>
    <w:rsid w:val="00F06828"/>
    <w:rsid w:val="00F27B17"/>
    <w:rsid w:val="00F31C17"/>
    <w:rsid w:val="00F32C90"/>
    <w:rsid w:val="00F35CE4"/>
    <w:rsid w:val="00F36396"/>
    <w:rsid w:val="00F46083"/>
    <w:rsid w:val="00F46EE4"/>
    <w:rsid w:val="00F4757C"/>
    <w:rsid w:val="00F476A6"/>
    <w:rsid w:val="00F524E1"/>
    <w:rsid w:val="00F531A4"/>
    <w:rsid w:val="00F56450"/>
    <w:rsid w:val="00F56A53"/>
    <w:rsid w:val="00F61214"/>
    <w:rsid w:val="00F61640"/>
    <w:rsid w:val="00F6659D"/>
    <w:rsid w:val="00F71E80"/>
    <w:rsid w:val="00F757FB"/>
    <w:rsid w:val="00F8147D"/>
    <w:rsid w:val="00F87A2B"/>
    <w:rsid w:val="00F917CC"/>
    <w:rsid w:val="00F91ECD"/>
    <w:rsid w:val="00F956F7"/>
    <w:rsid w:val="00F97759"/>
    <w:rsid w:val="00FA62BE"/>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 w:type="paragraph" w:styleId="NormalWeb">
    <w:name w:val="Normal (Web)"/>
    <w:basedOn w:val="Normal"/>
    <w:uiPriority w:val="99"/>
    <w:semiHidden/>
    <w:unhideWhenUsed/>
    <w:rsid w:val="00A73F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64765566">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26899740">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41030561">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1445477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noramictrial.org/resul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springer.com/article/10.1007/s10803-024-0668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Props1.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2.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3.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docMetadata/LabelInfo.xml><?xml version="1.0" encoding="utf-8"?>
<clbl:labelList xmlns:clbl="http://schemas.microsoft.com/office/2020/mipLabelMetadata">
  <clbl:label id="{9569d428-cde8-4093-8c72-538d9175bce5}"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5148</Words>
  <Characters>29349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2</cp:revision>
  <cp:lastPrinted>2021-04-26T12:02:00Z</cp:lastPrinted>
  <dcterms:created xsi:type="dcterms:W3CDTF">2026-02-18T15:44:00Z</dcterms:created>
  <dcterms:modified xsi:type="dcterms:W3CDTF">2026-02-18T15:44:00Z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